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app.xml" Type="http://schemas.openxmlformats.org/officeDocument/2006/relationships/extended-properties"/><Relationship Id="rId3" Target="docProps/core.xml" Type="http://schemas.openxmlformats.org/package/2006/relationships/metadata/core-properties"/></Relationships>
</file>

<file path=word/document.xml><?xml version="1.0" encoding="utf-8"?>
<w:document xmlns:w="http://schemas.openxmlformats.org/wordprocessingml/2006/main" xmlns:wp="http://schemas.openxmlformats.org/drawingml/2006/wordprocessingDrawing" xmlns:r="http://schemas.openxmlformats.org/officeDocument/2006/relationships">
  <w:body>
    <w:p>
      <w:pPr>
        <w:spacing w:after="120" w:before="120" w:line="336" w:lineRule="auto"/>
        <w:ind w:firstLine="0" w:start="0"/>
        <w:jc w:val="center"/>
      </w:pPr>
      <w:r>
        <w:rPr>
          <w:rFonts w:ascii="Jua" w:hAnsi="Jua" w:cs="Jua" w:eastAsia="Jua"/>
          <w:color w:val="000000"/>
          <w:sz w:val="84"/>
          <w:szCs w:val="84"/>
        </w:rPr>
        <w:t>ACCESS GUIDE FOR ‘SHITBAG’</w:t>
      </w:r>
      <w:r>
        <w:rPr>
          <w:rFonts w:ascii="Jua" w:hAnsi="Jua" w:cs="Jua" w:eastAsia="Jua"/>
          <w:color w:val="000000"/>
          <w:sz w:val="84"/>
          <w:szCs w:val="84"/>
        </w:rPr>
        <w:t xml:space="preserve">
</w:t>
      </w:r>
    </w:p>
    <w:p>
      <w:pPr>
        <w:spacing w:after="120" w:before="120" w:line="336" w:lineRule="auto"/>
        <w:ind w:firstLine="0" w:start="0"/>
        <w:jc w:val="center"/>
      </w:pPr>
      <w:r>
        <w:rPr>
          <w:rFonts w:ascii="Didact Gothic" w:hAnsi="Didact Gothic" w:cs="Didact Gothic" w:eastAsia="Didact Gothic"/>
          <w:color w:val="000000"/>
          <w:sz w:val="24"/>
          <w:szCs w:val="24"/>
        </w:rPr>
        <w:t xml:space="preserve">Hello to anyone reading and welcome to the Relaxed Performance Guide for my show ‘Shitbag’ at the Melbourne Fringe Festival, 2024.
</w:t>
      </w:r>
    </w:p>
    <w:p>
      <w:pPr>
        <w:spacing w:after="120" w:before="120" w:line="336" w:lineRule="auto"/>
        <w:ind w:firstLine="0" w:start="0"/>
        <w:jc w:val="center"/>
      </w:pPr>
      <w:r>
        <w:rPr>
          <w:rFonts w:ascii="Didact Gothic" w:hAnsi="Didact Gothic" w:cs="Didact Gothic" w:eastAsia="Didact Gothic"/>
          <w:color w:val="000000"/>
          <w:sz w:val="24"/>
          <w:szCs w:val="24"/>
        </w:rPr>
        <w:t xml:space="preserve">My name is Hayley Jemma Edwards and I am the creator and performer of ‘Shitbag’. I am a 25 year old non-binary person who was born female and I have white skin and a short haircut with brown/ginger hair. There’s a photo of me below.
</w:t>
      </w:r>
    </w:p>
    <w:p>
      <w:pPr>
        <w:spacing w:after="120" w:before="120"/>
        <w:jc w:val="center"/>
      </w:pPr>
      <w:r>
        <w:drawing>
          <wp:inline distT="0" distR="0" distB="0" distL="0">
            <wp:extent cx="2238170" cy="3357255"/>
            <wp:docPr id="0" name="Drawing 0" descr="128d6c70fb4318374f8c7f4b15088ad7.jpg"/>
            <a:graphic xmlns:a="http://schemas.openxmlformats.org/drawingml/2006/main">
              <a:graphicData uri="http://schemas.openxmlformats.org/drawingml/2006/picture">
                <pic:pic xmlns:pic="http://schemas.openxmlformats.org/drawingml/2006/picture">
                  <pic:nvPicPr>
                    <pic:cNvPr id="0" name="Picture 0" descr="128d6c70fb4318374f8c7f4b15088ad7.jpg"/>
                    <pic:cNvPicPr>
                      <a:picLocks noChangeAspect="true"/>
                    </pic:cNvPicPr>
                  </pic:nvPicPr>
                  <pic:blipFill>
                    <a:blip r:embed="rId3"/>
                    <a:stretch>
                      <a:fillRect/>
                    </a:stretch>
                  </pic:blipFill>
                  <pic:spPr>
                    <a:xfrm flipH="false" flipV="false">
                      <a:off x="0" y="0"/>
                      <a:ext cx="2238170" cy="3357255"/>
                    </a:xfrm>
                    <a:prstGeom prst="rect">
                      <a:avLst/>
                    </a:prstGeom>
                  </pic:spPr>
                </pic:pic>
              </a:graphicData>
            </a:graphic>
          </wp:inline>
        </w:drawing>
      </w:r>
    </w:p>
    <w:p>
      <w:pPr>
        <w:spacing w:after="120" w:before="120" w:line="336" w:lineRule="auto"/>
        <w:ind w:firstLine="0" w:start="0"/>
        <w:jc w:val="center"/>
      </w:pPr>
      <w:r>
        <w:rPr>
          <w:rFonts w:ascii="Didact Gothic" w:hAnsi="Didact Gothic" w:cs="Didact Gothic" w:eastAsia="Didact Gothic"/>
          <w:color w:val="000000"/>
          <w:sz w:val="24"/>
          <w:szCs w:val="24"/>
        </w:rPr>
        <w:t xml:space="preserve">This show is written about my experiences being diagnosed with Crohn’s Disease which is a chronic illness/invisible disability. I am also someone who has OCD and ADHD - and a history of other mental illnesses. I’m very excited to share my work with people and if anyone has any questions about the show, please feel free to get in contact with me.
</w:t>
      </w:r>
    </w:p>
    <w:p>
      <w:pPr>
        <w:spacing w:after="120" w:before="120" w:line="336" w:lineRule="auto"/>
        <w:ind w:firstLine="0" w:start="0"/>
        <w:jc w:val="center"/>
      </w:pPr>
      <w:r>
        <w:rPr>
          <w:rFonts w:ascii="Didact Gothic" w:hAnsi="Didact Gothic" w:cs="Didact Gothic" w:eastAsia="Didact Gothic"/>
          <w:color w:val="000000"/>
          <w:sz w:val="24"/>
          <w:szCs w:val="24"/>
        </w:rPr>
        <w:t xml:space="preserve">It runs from the 2nd-6th of October at 9:45pm, with a Relaxed Performance on the 5th at 4pm and the Sunday’s show being an hour earlier at 8:45pm.
</w:t>
      </w:r>
    </w:p>
    <w:p>
      <w:pPr>
        <w:spacing w:after="120" w:before="120" w:line="336" w:lineRule="auto"/>
        <w:ind w:firstLine="0" w:start="0"/>
        <w:jc w:val="center"/>
      </w:pPr>
      <w:r>
        <w:rPr>
          <w:rFonts w:ascii="Didact Gothic" w:hAnsi="Didact Gothic" w:cs="Didact Gothic" w:eastAsia="Didact Gothic"/>
          <w:color w:val="000000"/>
          <w:sz w:val="24"/>
          <w:szCs w:val="24"/>
        </w:rPr>
        <w:t xml:space="preserve">It has now been extended to include three nights in the EVATT Room which is Upstairs at the Fringe Hub/Trades Hall on the following nights:
</w:t>
      </w:r>
    </w:p>
    <w:p>
      <w:pPr>
        <w:spacing w:after="120" w:before="120" w:line="336" w:lineRule="auto"/>
        <w:ind w:firstLine="0" w:start="0"/>
        <w:jc w:val="center"/>
      </w:pPr>
      <w:r>
        <w:rPr>
          <w:rFonts w:ascii="Didact Gothic" w:hAnsi="Didact Gothic" w:cs="Didact Gothic" w:eastAsia="Didact Gothic"/>
          <w:color w:val="000000"/>
          <w:sz w:val="24"/>
          <w:szCs w:val="24"/>
        </w:rPr>
        <w:t xml:space="preserve">Friday 11th 8:30pm
</w:t>
      </w:r>
    </w:p>
    <w:p>
      <w:pPr>
        <w:spacing w:after="120" w:before="120" w:line="336" w:lineRule="auto"/>
        <w:ind w:firstLine="0" w:start="0"/>
        <w:jc w:val="center"/>
      </w:pPr>
      <w:r>
        <w:rPr>
          <w:rFonts w:ascii="Didact Gothic" w:hAnsi="Didact Gothic" w:cs="Didact Gothic" w:eastAsia="Didact Gothic"/>
          <w:color w:val="000000"/>
          <w:sz w:val="24"/>
          <w:szCs w:val="24"/>
        </w:rPr>
        <w:t xml:space="preserve">Saturday 12th 8:30pm
</w:t>
      </w:r>
    </w:p>
    <w:p>
      <w:pPr>
        <w:spacing w:after="120" w:before="120" w:line="336" w:lineRule="auto"/>
        <w:ind w:firstLine="0" w:start="0"/>
        <w:jc w:val="center"/>
      </w:pPr>
      <w:r>
        <w:rPr>
          <w:rFonts w:ascii="Didact Gothic" w:hAnsi="Didact Gothic" w:cs="Didact Gothic" w:eastAsia="Didact Gothic"/>
          <w:color w:val="000000"/>
          <w:sz w:val="24"/>
          <w:szCs w:val="24"/>
        </w:rPr>
        <w:t xml:space="preserve">Sunday 13th 7:30pm
</w:t>
      </w:r>
    </w:p>
    <w:p>
      <w:pPr>
        <w:spacing w:after="120" w:before="120" w:line="336" w:lineRule="auto"/>
        <w:ind w:firstLine="0" w:start="0"/>
        <w:jc w:val="center"/>
      </w:pPr>
      <w:r>
        <w:rPr>
          <w:rFonts w:ascii="Jua" w:hAnsi="Jua" w:cs="Jua" w:eastAsia="Jua"/>
          <w:color w:val="000000"/>
          <w:sz w:val="84"/>
          <w:szCs w:val="84"/>
        </w:rPr>
        <w:t>HOW TO GET TO THE VENUE</w:t>
      </w:r>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Didact Gothic" w:hAnsi="Didact Gothic" w:cs="Didact Gothic" w:eastAsia="Didact Gothic"/>
          <w:color w:val="000000"/>
          <w:sz w:val="20"/>
          <w:szCs w:val="20"/>
        </w:rPr>
        <w:t xml:space="preserve">You can plan your journey using the </w:t>
      </w:r>
      <w:hyperlink r:id="rId4">
        <w:r>
          <w:rPr>
            <w:rFonts w:ascii="Didact Gothic" w:hAnsi="Didact Gothic" w:cs="Didact Gothic" w:eastAsia="Didact Gothic"/>
            <w:color w:val="1a62ff"/>
            <w:sz w:val="20"/>
            <w:szCs w:val="20"/>
            <w:u w:val="single" w:color="1a62ff"/>
          </w:rPr>
          <w:t>Public Transport Victoria website</w:t>
        </w:r>
      </w:hyperlink>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 Situated on Lygon St, the Festival Hub is just a short journey westward from the Swanston St corridor with the number 1, 3/3a, 5, 6, 16, 64, 67, and 72 trams. The closest stop is the RMIT University/Swanston St stop, or the Queensberry St/Swanston St stop. Both stops are level-access stops. </w:t>
        <w:br/>
      </w:r>
      <w:r>
        <w:rPr>
          <w:rFonts w:ascii="Didact Gothic" w:hAnsi="Didact Gothic" w:cs="Didact Gothic" w:eastAsia="Didact Gothic"/>
          <w:color w:val="000000"/>
          <w:sz w:val="20"/>
          <w:szCs w:val="20"/>
        </w:rPr>
        <w:t xml:space="preserve"> Please note, routes 1, 3/3a, 64, and 67 are not serviced by low-floor trams. Routes 5, 6, 16, and 72 are partially serviced by low-floor trams. </w:t>
        <w:br/>
      </w: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 The Russell St/Lonsdale St tram stop which services the 30 and 35 trams is a short journey from the south. </w:t>
        <w:br/>
      </w:r>
      <w:r>
        <w:rPr>
          <w:rFonts w:ascii="Didact Gothic" w:hAnsi="Didact Gothic" w:cs="Didact Gothic" w:eastAsia="Didact Gothic"/>
          <w:color w:val="000000"/>
          <w:sz w:val="20"/>
          <w:szCs w:val="20"/>
        </w:rPr>
        <w:t xml:space="preserve"> This stop is not a level-access stop. </w:t>
        <w:br/>
      </w: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 The Melbourne Museum/Nicholson St stop services the 86 and 96 trams. The 86 tram route is partially serviced by low-floor trams. The 96 tram route is entirely serviced by low-floor trams. </w:t>
        <w:br/>
      </w: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 There are also a range of buses that run along Lygon St (200 and 207), and Rathdowne St (250, 251, and 402) and plenty more in the CBD or towards Grattan Street. </w:t>
        <w:br/>
      </w: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 If travelling by train, the Festival Hub is only a short journey from Melbourne Central Station.
</w:t>
      </w:r>
    </w:p>
    <w:p>
      <w:pPr>
        <w:spacing w:after="120" w:before="120" w:line="336" w:lineRule="auto"/>
        <w:ind w:firstLine="0" w:start="0"/>
        <w:jc w:val="center"/>
      </w:pPr>
      <w:r>
        <w:rPr>
          <w:rFonts w:ascii="Didact Gothic" w:hAnsi="Didact Gothic" w:cs="Didact Gothic" w:eastAsia="Didact Gothic"/>
          <w:color w:val="000000"/>
          <w:sz w:val="20"/>
          <w:szCs w:val="20"/>
        </w:rPr>
        <w:t xml:space="preserve">Exit at Swanston Street/La Trobe Street and make your way East up La Trobe Street. </w:t>
        <w:br/>
      </w:r>
      <w:r>
        <w:rPr>
          <w:rFonts w:ascii="Didact Gothic" w:hAnsi="Didact Gothic" w:cs="Didact Gothic" w:eastAsia="Didact Gothic"/>
          <w:color w:val="000000"/>
          <w:sz w:val="20"/>
          <w:szCs w:val="20"/>
        </w:rPr>
        <w:t xml:space="preserve"> Turn left at Russell Street, and continue to Victoria Street, when Russell Street becomes Lygon Street.  </w:t>
        <w:br/>
      </w:r>
      <w:r>
        <w:rPr>
          <w:rFonts w:ascii="Didact Gothic" w:hAnsi="Didact Gothic" w:cs="Didact Gothic" w:eastAsia="Didact Gothic"/>
          <w:color w:val="000000"/>
          <w:sz w:val="20"/>
          <w:szCs w:val="20"/>
        </w:rPr>
        <w:t xml:space="preserve"> Cross the road and you will be at Trades Hall.</w:t>
      </w: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 </w:t>
      </w:r>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Didact Gothic" w:hAnsi="Didact Gothic" w:cs="Didact Gothic" w:eastAsia="Didact Gothic"/>
          <w:color w:val="000000"/>
          <w:sz w:val="20"/>
          <w:szCs w:val="20"/>
        </w:rPr>
        <w:t xml:space="preserve">Parking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There is no onsite parking at Trades Hall. If you are driving to the venue, there is GreenCo Parking nearby at 43 MacKenzie St, and some kerb side parking in the surrounding areas.
</w:t>
      </w:r>
    </w:p>
    <w:p>
      <w:pPr>
        <w:spacing w:after="120" w:before="120" w:line="336" w:lineRule="auto"/>
        <w:ind w:firstLine="0" w:start="0"/>
        <w:jc w:val="center"/>
      </w:pP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Ride-share
</w:t>
      </w:r>
    </w:p>
    <w:p>
      <w:pPr>
        <w:spacing w:after="120" w:before="120" w:line="336" w:lineRule="auto"/>
        <w:ind w:firstLine="0" w:start="0"/>
        <w:jc w:val="center"/>
      </w:pPr>
      <w:r>
        <w:rPr>
          <w:rFonts w:ascii="Didact Gothic" w:hAnsi="Didact Gothic" w:cs="Didact Gothic" w:eastAsia="Didact Gothic"/>
          <w:color w:val="000000"/>
          <w:sz w:val="20"/>
          <w:szCs w:val="20"/>
        </w:rPr>
        <w:t xml:space="preserve">If travelling by a ride-share service or taxi, you can provide the location of Victorian Trades Hall or 54 Lygon St. </w:t>
        <w:br/>
      </w:r>
      <w:r>
        <w:rPr>
          <w:rFonts w:ascii="Didact Gothic" w:hAnsi="Didact Gothic" w:cs="Didact Gothic" w:eastAsia="Didact Gothic"/>
          <w:color w:val="000000"/>
          <w:sz w:val="20"/>
          <w:szCs w:val="20"/>
        </w:rPr>
        <w:t xml:space="preserve"> There is space for the driver to pull up in front of the Lygon St Entrance.
</w:t>
      </w:r>
    </w:p>
    <w:p>
      <w:pPr>
        <w:spacing w:after="120" w:before="120" w:line="336" w:lineRule="auto"/>
        <w:ind w:firstLine="0" w:start="0"/>
        <w:jc w:val="center"/>
      </w:pP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Contact Details 
</w:t>
      </w:r>
    </w:p>
    <w:p>
      <w:pPr>
        <w:spacing w:after="120" w:before="120" w:line="336" w:lineRule="auto"/>
        <w:ind w:firstLine="0" w:start="0"/>
        <w:jc w:val="center"/>
      </w:pPr>
      <w:r>
        <w:rPr>
          <w:rFonts w:ascii="Didact Gothic" w:hAnsi="Didact Gothic" w:cs="Didact Gothic" w:eastAsia="Didact Gothic"/>
          <w:color w:val="000000"/>
          <w:sz w:val="20"/>
          <w:szCs w:val="20"/>
        </w:rPr>
        <w:t xml:space="preserve">Melbourne Fringe’s Office is open between 10am to 6pm Monday to Friday. </w:t>
        <w:br/>
      </w:r>
      <w:r>
        <w:rPr>
          <w:rFonts w:ascii="Didact Gothic" w:hAnsi="Didact Gothic" w:cs="Didact Gothic" w:eastAsia="Didact Gothic"/>
          <w:color w:val="000000"/>
          <w:sz w:val="20"/>
          <w:szCs w:val="20"/>
        </w:rPr>
        <w:t xml:space="preserve"> During the Festival the phone lines are open for extended hours. </w:t>
        <w:br/>
      </w:r>
      <w:r>
        <w:rPr>
          <w:rFonts w:ascii="Didact Gothic" w:hAnsi="Didact Gothic" w:cs="Didact Gothic" w:eastAsia="Didact Gothic"/>
          <w:color w:val="000000"/>
          <w:sz w:val="20"/>
          <w:szCs w:val="20"/>
        </w:rPr>
        <w:t>Office phone:</w:t>
      </w:r>
      <w:r>
        <w:rPr>
          <w:rFonts w:ascii="Didact Gothic" w:hAnsi="Didact Gothic" w:cs="Didact Gothic" w:eastAsia="Didact Gothic"/>
          <w:color w:val="000000"/>
          <w:sz w:val="20"/>
          <w:szCs w:val="20"/>
        </w:rPr>
        <w:t xml:space="preserve"> </w:t>
      </w:r>
      <w:hyperlink r:id="rId5">
        <w:r>
          <w:rPr>
            <w:rFonts w:ascii="Didact Gothic" w:hAnsi="Didact Gothic" w:cs="Didact Gothic" w:eastAsia="Didact Gothic"/>
            <w:color w:val="1a62ff"/>
            <w:sz w:val="20"/>
            <w:szCs w:val="20"/>
            <w:u w:val="single" w:color="1a62ff"/>
          </w:rPr>
          <w:t>+61 (03) 9660 9600</w:t>
        </w:r>
      </w:hyperlink>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Didact Gothic" w:hAnsi="Didact Gothic" w:cs="Didact Gothic" w:eastAsia="Didact Gothic"/>
          <w:color w:val="000000"/>
          <w:sz w:val="20"/>
          <w:szCs w:val="20"/>
        </w:rPr>
        <w:t xml:space="preserve">TTY users: phone 13 36 77 then ask for 03 9660 9600 </w:t>
        <w:br/>
      </w:r>
      <w:r>
        <w:rPr>
          <w:rFonts w:ascii="Didact Gothic" w:hAnsi="Didact Gothic" w:cs="Didact Gothic" w:eastAsia="Didact Gothic"/>
          <w:color w:val="000000"/>
          <w:sz w:val="20"/>
          <w:szCs w:val="20"/>
        </w:rPr>
        <w:t xml:space="preserve"> Speak and Listen users: phone 1300 555 727 then ask for 03 9660 9600 </w:t>
        <w:br/>
      </w:r>
      <w:r>
        <w:rPr>
          <w:rFonts w:ascii="Didact Gothic" w:hAnsi="Didact Gothic" w:cs="Didact Gothic" w:eastAsia="Didact Gothic"/>
          <w:color w:val="000000"/>
          <w:sz w:val="20"/>
          <w:szCs w:val="20"/>
        </w:rPr>
        <w:t xml:space="preserve"> Internet relay users: connect to the NRS (internet-relay.nrscall.gov.au) then type in 03 9660 9600 </w:t>
        <w:br/>
      </w:r>
      <w:r>
        <w:rPr>
          <w:rFonts w:ascii="Didact Gothic" w:hAnsi="Didact Gothic" w:cs="Didact Gothic" w:eastAsia="Didact Gothic"/>
          <w:color w:val="000000"/>
          <w:sz w:val="20"/>
          <w:szCs w:val="20"/>
        </w:rPr>
        <w:t>Office Email:</w:t>
      </w:r>
      <w:r>
        <w:rPr>
          <w:rFonts w:ascii="Didact Gothic" w:hAnsi="Didact Gothic" w:cs="Didact Gothic" w:eastAsia="Didact Gothic"/>
          <w:color w:val="000000"/>
          <w:sz w:val="20"/>
          <w:szCs w:val="20"/>
        </w:rPr>
        <w:t xml:space="preserve"> </w:t>
      </w:r>
      <w:hyperlink r:id="rId6">
        <w:r>
          <w:rPr>
            <w:rFonts w:ascii="Didact Gothic" w:hAnsi="Didact Gothic" w:cs="Didact Gothic" w:eastAsia="Didact Gothic"/>
            <w:color w:val="1a62ff"/>
            <w:sz w:val="20"/>
            <w:szCs w:val="20"/>
            <w:u w:val="single" w:color="1a62ff"/>
          </w:rPr>
          <w:t>info@melbournefringe.com.au</w:t>
        </w:r>
      </w:hyperlink>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Didact Gothic" w:hAnsi="Didact Gothic" w:cs="Didact Gothic" w:eastAsia="Didact Gothic"/>
          <w:color w:val="000000"/>
          <w:sz w:val="20"/>
          <w:szCs w:val="20"/>
        </w:rPr>
        <w:t xml:space="preserve">All spaces within the Festival Hub: Trades Hall are accessible through the Lygon Street entrance, with accessible and gender-neutral bathrooms and lift access inside.
</w:t>
      </w:r>
    </w:p>
    <w:p>
      <w:pPr>
        <w:spacing w:after="120" w:before="120" w:line="336" w:lineRule="auto"/>
        <w:ind w:firstLine="0" w:start="0"/>
        <w:jc w:val="start"/>
      </w:pPr>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Jua" w:hAnsi="Jua" w:cs="Jua" w:eastAsia="Jua"/>
          <w:color w:val="000000"/>
          <w:sz w:val="84"/>
          <w:szCs w:val="84"/>
        </w:rPr>
        <w:t>THE VENUE</w:t>
      </w:r>
      <w:r>
        <w:rPr>
          <w:rFonts w:ascii="Didact Gothic" w:hAnsi="Didact Gothic" w:cs="Didact Gothic" w:eastAsia="Didact Gothic"/>
          <w:color w:val="000000"/>
          <w:sz w:val="24"/>
          <w:szCs w:val="24"/>
        </w:rPr>
        <w:t xml:space="preserve">
</w:t>
      </w:r>
    </w:p>
    <w:p>
      <w:pPr>
        <w:spacing w:after="120" w:before="120" w:line="336" w:lineRule="auto"/>
        <w:ind w:firstLine="0" w:start="0"/>
        <w:jc w:val="center"/>
      </w:pPr>
      <w:r>
        <w:rPr>
          <w:rFonts w:ascii="Didact Gothic" w:hAnsi="Didact Gothic" w:cs="Didact Gothic" w:eastAsia="Didact Gothic"/>
          <w:color w:val="000000"/>
          <w:sz w:val="24"/>
          <w:szCs w:val="24"/>
        </w:rPr>
        <w:t xml:space="preserve">The venue is the Melbourne Fringe Hub.
</w:t>
      </w:r>
    </w:p>
    <w:p>
      <w:pPr>
        <w:spacing w:after="120" w:before="120" w:line="336" w:lineRule="auto"/>
        <w:ind w:firstLine="0" w:start="0"/>
        <w:jc w:val="center"/>
      </w:pPr>
      <w:r>
        <w:rPr>
          <w:rFonts w:ascii="Didact Gothic" w:hAnsi="Didact Gothic" w:cs="Didact Gothic" w:eastAsia="Didact Gothic"/>
          <w:color w:val="000000"/>
          <w:sz w:val="24"/>
          <w:szCs w:val="24"/>
        </w:rPr>
        <w:t xml:space="preserve">This is at Trades Hall and here is the address:
</w:t>
      </w:r>
    </w:p>
    <w:p>
      <w:pPr>
        <w:spacing w:after="120" w:before="120" w:line="336" w:lineRule="auto"/>
        <w:ind w:firstLine="0" w:start="0"/>
        <w:jc w:val="center"/>
      </w:pPr>
      <w:r>
        <w:rPr>
          <w:rFonts w:ascii="Jua" w:hAnsi="Jua" w:cs="Jua" w:eastAsia="Jua"/>
          <w:color w:val="000000"/>
          <w:sz w:val="41"/>
          <w:szCs w:val="41"/>
        </w:rPr>
        <w:t xml:space="preserve">54 Victoria St, Carlton VIC 3053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The outside of the building looks like this: 
</w:t>
      </w:r>
    </w:p>
    <w:p>
      <w:pPr>
        <w:spacing w:after="120" w:before="120"/>
        <w:jc w:val="center"/>
      </w:pPr>
      <w:r>
        <w:drawing>
          <wp:inline distT="0" distR="0" distB="0" distL="0">
            <wp:extent cx="4196942" cy="2797961"/>
            <wp:docPr id="1" name="Drawing 1" descr="1c7b73f5cceaa825493fe6e39539adf2.png"/>
            <a:graphic xmlns:a="http://schemas.openxmlformats.org/drawingml/2006/main">
              <a:graphicData uri="http://schemas.openxmlformats.org/drawingml/2006/picture">
                <pic:pic xmlns:pic="http://schemas.openxmlformats.org/drawingml/2006/picture">
                  <pic:nvPicPr>
                    <pic:cNvPr id="0" name="Picture 1" descr="1c7b73f5cceaa825493fe6e39539adf2.png"/>
                    <pic:cNvPicPr>
                      <a:picLocks noChangeAspect="true"/>
                    </pic:cNvPicPr>
                  </pic:nvPicPr>
                  <pic:blipFill>
                    <a:blip r:embed="rId7"/>
                    <a:stretch>
                      <a:fillRect/>
                    </a:stretch>
                  </pic:blipFill>
                  <pic:spPr>
                    <a:xfrm flipH="false" flipV="false">
                      <a:off x="0" y="0"/>
                      <a:ext cx="4196942" cy="2797961"/>
                    </a:xfrm>
                    <a:prstGeom prst="rect">
                      <a:avLst/>
                    </a:prstGeom>
                  </pic:spPr>
                </pic:pic>
              </a:graphicData>
            </a:graphic>
          </wp:inline>
        </w:drawing>
      </w:r>
    </w:p>
    <w:p>
      <w:pPr>
        <w:spacing w:after="120" w:before="120" w:line="336" w:lineRule="auto"/>
        <w:ind w:firstLine="0" w:start="0"/>
        <w:jc w:val="center"/>
      </w:pPr>
      <w:r>
        <w:rPr>
          <w:rFonts w:ascii="Didact Gothic" w:hAnsi="Didact Gothic" w:cs="Didact Gothic" w:eastAsia="Didact Gothic"/>
          <w:color w:val="000000"/>
          <w:sz w:val="20"/>
          <w:szCs w:val="20"/>
        </w:rPr>
        <w:t>Image Description</w:t>
      </w: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 Trades Hall viewed from across the road. A large beige building, with a pointed triangle roof and two turret features either side. Construction scaffolding is two thirds up on the left turret. A tree obscures the right turret. On the roof are three flags – the Aboriginal flag, the Torres Strait islander flag and a red flag which is a symbol of the international Labor movement. The building has eight pillars in the centre – representing the eight-hour day. There are long thin rectangle windows up high, and arch windows either side of a large arch doorway with a dark green door below the rectangle windows. Several cars are parked on the street on front of the building.
</w:t>
      </w:r>
    </w:p>
    <w:p>
      <w:pPr>
        <w:spacing w:after="120" w:before="120" w:line="336" w:lineRule="auto"/>
        <w:ind w:firstLine="0" w:start="0"/>
        <w:jc w:val="center"/>
      </w:pPr>
      <w:r>
        <w:rPr>
          <w:rFonts w:ascii="Didact Gothic" w:hAnsi="Didact Gothic" w:cs="Didact Gothic" w:eastAsia="Didact Gothic"/>
          <w:color w:val="000000"/>
          <w:sz w:val="20"/>
          <w:szCs w:val="20"/>
        </w:rPr>
        <w:t xml:space="preserve">Trades Hall is a large nineteenth century building on the corner of Lygon St and Victoria St. </w:t>
        <w:br/>
      </w:r>
      <w:r>
        <w:rPr>
          <w:rFonts w:ascii="Didact Gothic" w:hAnsi="Didact Gothic" w:cs="Didact Gothic" w:eastAsia="Didact Gothic"/>
          <w:color w:val="000000"/>
          <w:sz w:val="20"/>
          <w:szCs w:val="20"/>
        </w:rPr>
        <w:t xml:space="preserve"> You will enter from Lygon St. The Lygon St entrance has large pillars and eight steps leading to the portico. </w:t>
        <w:br/>
      </w:r>
      <w:r>
        <w:rPr>
          <w:rFonts w:ascii="Didact Gothic" w:hAnsi="Didact Gothic" w:cs="Didact Gothic" w:eastAsia="Didact Gothic"/>
          <w:color w:val="000000"/>
          <w:sz w:val="20"/>
          <w:szCs w:val="20"/>
        </w:rPr>
        <w:t xml:space="preserve"> There is also an external mobility lift on the southern end of the portico, or the right-hand side if you are facing the building.
</w:t>
      </w:r>
    </w:p>
    <w:p>
      <w:pPr>
        <w:spacing w:after="120" w:before="120" w:line="336" w:lineRule="auto"/>
        <w:ind w:firstLine="0" w:start="0"/>
        <w:jc w:val="center"/>
      </w:pP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This is the portico, or Lygon St entrance, to Trades Hall. During the Melbourne Fringe Festival, this area will be lit up with coloured lights and there will be several different signs on the pillars and surrounding areas. </w:t>
        <w:br/>
      </w:r>
      <w:r>
        <w:rPr>
          <w:rFonts w:ascii="Didact Gothic" w:hAnsi="Didact Gothic" w:cs="Didact Gothic" w:eastAsia="Didact Gothic"/>
          <w:color w:val="000000"/>
          <w:sz w:val="20"/>
          <w:szCs w:val="20"/>
        </w:rPr>
        <w:t xml:space="preserve"> There will also be a team of Melbourne Fringe volunteers at this location to welcome you to the venue. They will be wearing purple shirts that say “VOLUNTEER” on the back, and “MELBOURNE FRINGE” on the front. Some of these volunteers are specifically trained in access and inclusion. 
</w:t>
      </w:r>
    </w:p>
    <w:p>
      <w:pPr>
        <w:spacing w:after="120" w:before="120"/>
        <w:jc w:val="center"/>
      </w:pPr>
      <w:r>
        <w:drawing>
          <wp:inline distT="0" distR="0" distB="0" distL="0">
            <wp:extent cx="4336434" cy="2899168"/>
            <wp:docPr id="2" name="Drawing 2" descr="24594ecd4cfbc8e89d4b9dbd4fe60c39.png"/>
            <a:graphic xmlns:a="http://schemas.openxmlformats.org/drawingml/2006/main">
              <a:graphicData uri="http://schemas.openxmlformats.org/drawingml/2006/picture">
                <pic:pic xmlns:pic="http://schemas.openxmlformats.org/drawingml/2006/picture">
                  <pic:nvPicPr>
                    <pic:cNvPr id="0" name="Picture 2" descr="24594ecd4cfbc8e89d4b9dbd4fe60c39.png"/>
                    <pic:cNvPicPr>
                      <a:picLocks noChangeAspect="true"/>
                    </pic:cNvPicPr>
                  </pic:nvPicPr>
                  <pic:blipFill>
                    <a:blip r:embed="rId8"/>
                    <a:stretch>
                      <a:fillRect/>
                    </a:stretch>
                  </pic:blipFill>
                  <pic:spPr>
                    <a:xfrm flipH="false" flipV="false">
                      <a:off x="0" y="0"/>
                      <a:ext cx="4336434" cy="2899168"/>
                    </a:xfrm>
                    <a:prstGeom prst="rect">
                      <a:avLst/>
                    </a:prstGeom>
                  </pic:spPr>
                </pic:pic>
              </a:graphicData>
            </a:graphic>
          </wp:inline>
        </w:drawing>
      </w:r>
    </w:p>
    <w:p>
      <w:pPr>
        <w:spacing w:after="120" w:before="120" w:line="336" w:lineRule="auto"/>
        <w:ind w:firstLine="0" w:start="0"/>
        <w:jc w:val="center"/>
      </w:pPr>
      <w:r>
        <w:rPr>
          <w:rFonts w:ascii="Didact Gothic" w:hAnsi="Didact Gothic" w:cs="Didact Gothic" w:eastAsia="Didact Gothic"/>
          <w:color w:val="000000"/>
          <w:sz w:val="20"/>
          <w:szCs w:val="20"/>
        </w:rPr>
        <w:t>Image Description</w:t>
      </w: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 Close up of part of the Lygon Street frontage of Trades Hall. Arch windows are set into beige exterior walls. There are 5 beige pillars that are set into the concrete steps. Next to the pillars is a grassy area with an iron fence. The footpath is grey concrete.
</w:t>
      </w:r>
    </w:p>
    <w:p>
      <w:pPr>
        <w:spacing w:after="120" w:before="120" w:line="336" w:lineRule="auto"/>
        <w:ind w:firstLine="0" w:start="0"/>
        <w:jc w:val="center"/>
      </w:pP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 At the front of the Lygon St entrance there is an external mobility lift. Operation instructions for the mobility lift can be found on the access page of the Melbourne Fringe website and at the end of this document. </w:t>
        <w:br/>
      </w:r>
      <w:r>
        <w:rPr>
          <w:rFonts w:ascii="Didact Gothic" w:hAnsi="Didact Gothic" w:cs="Didact Gothic" w:eastAsia="Didact Gothic"/>
          <w:color w:val="000000"/>
          <w:sz w:val="20"/>
          <w:szCs w:val="20"/>
        </w:rPr>
        <w:t xml:space="preserve"> During the Festival there are a team of volunteers stationed at this lift to assist patrons in using it and directing patrons to where they need to go.
</w:t>
      </w:r>
    </w:p>
    <w:p>
      <w:pPr>
        <w:spacing w:after="120" w:before="120"/>
        <w:jc w:val="center"/>
      </w:pPr>
      <w:r>
        <w:drawing>
          <wp:inline distT="0" distR="0" distB="0" distL="0">
            <wp:extent cx="3749929" cy="3332323"/>
            <wp:docPr id="3" name="Drawing 3" descr="88a545aeea35595fdbbd7603f05133dd.png"/>
            <a:graphic xmlns:a="http://schemas.openxmlformats.org/drawingml/2006/main">
              <a:graphicData uri="http://schemas.openxmlformats.org/drawingml/2006/picture">
                <pic:pic xmlns:pic="http://schemas.openxmlformats.org/drawingml/2006/picture">
                  <pic:nvPicPr>
                    <pic:cNvPr id="0" name="Picture 3" descr="88a545aeea35595fdbbd7603f05133dd.png"/>
                    <pic:cNvPicPr>
                      <a:picLocks noChangeAspect="true"/>
                    </pic:cNvPicPr>
                  </pic:nvPicPr>
                  <pic:blipFill>
                    <a:blip r:embed="rId9"/>
                    <a:stretch>
                      <a:fillRect/>
                    </a:stretch>
                  </pic:blipFill>
                  <pic:spPr>
                    <a:xfrm flipH="false" flipV="false">
                      <a:off x="0" y="0"/>
                      <a:ext cx="3749929" cy="3332323"/>
                    </a:xfrm>
                    <a:prstGeom prst="rect">
                      <a:avLst/>
                    </a:prstGeom>
                  </pic:spPr>
                </pic:pic>
              </a:graphicData>
            </a:graphic>
          </wp:inline>
        </w:drawing>
      </w:r>
    </w:p>
    <w:p>
      <w:pPr>
        <w:spacing w:after="120" w:before="120" w:line="336" w:lineRule="auto"/>
        <w:ind w:firstLine="0" w:start="0"/>
        <w:jc w:val="center"/>
      </w:pPr>
      <w:r>
        <w:rPr>
          <w:rFonts w:ascii="Didact Gothic" w:hAnsi="Didact Gothic" w:cs="Didact Gothic" w:eastAsia="Didact Gothic"/>
          <w:color w:val="000000"/>
          <w:sz w:val="20"/>
          <w:szCs w:val="20"/>
        </w:rPr>
        <w:t>Image Description</w:t>
      </w: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 An external mobility lift. A metal cubed lift sits between two beige pillars. The lift’s metal is slightly transparent. The front door section is low, and the back section is double the height of the front.  </w:t>
        <w:br/>
      </w:r>
      <w:r>
        <w:rPr>
          <w:rFonts w:ascii="Didact Gothic" w:hAnsi="Didact Gothic" w:cs="Didact Gothic" w:eastAsia="Didact Gothic"/>
          <w:color w:val="000000"/>
          <w:sz w:val="20"/>
          <w:szCs w:val="20"/>
        </w:rPr>
        <w:t xml:space="preserve"> This is the South Portico Door to Trades Hall. During the Festival there are a team of volunteers stationed here to assist you. </w:t>
        <w:br/>
      </w:r>
      <w:r>
        <w:rPr>
          <w:rFonts w:ascii="Didact Gothic" w:hAnsi="Didact Gothic" w:cs="Didact Gothic" w:eastAsia="Didact Gothic"/>
          <w:color w:val="000000"/>
          <w:sz w:val="20"/>
          <w:szCs w:val="20"/>
        </w:rPr>
        <w:t xml:space="preserve"> This door is the step-free way to enter the Trades Hall building.
</w:t>
      </w:r>
    </w:p>
    <w:p>
      <w:pPr>
        <w:spacing w:after="120" w:before="120" w:line="336" w:lineRule="auto"/>
        <w:ind w:firstLine="0" w:start="0"/>
        <w:jc w:val="center"/>
      </w:pPr>
      <w:r>
        <w:rPr>
          <w:rFonts w:ascii="Jua" w:hAnsi="Jua" w:cs="Jua" w:eastAsia="Jua"/>
          <w:color w:val="000000"/>
          <w:sz w:val="76"/>
          <w:szCs w:val="76"/>
        </w:rPr>
        <w:t xml:space="preserve">MOBILITY LIFT INSTRUCTIONS
</w:t>
      </w:r>
    </w:p>
    <w:p>
      <w:pPr>
        <w:spacing w:after="120" w:before="120" w:line="336" w:lineRule="auto"/>
        <w:ind w:firstLine="0" w:start="0"/>
        <w:jc w:val="center"/>
      </w:pPr>
      <w:r>
        <w:rPr>
          <w:rFonts w:ascii="Didact Gothic" w:hAnsi="Didact Gothic" w:cs="Didact Gothic" w:eastAsia="Didact Gothic"/>
          <w:color w:val="000000"/>
          <w:sz w:val="20"/>
          <w:szCs w:val="20"/>
        </w:rPr>
        <w:t xml:space="preserve">Going Up. </w:t>
      </w:r>
      <w:r>
        <w:rPr>
          <w:rFonts w:ascii="Didact Gothic" w:hAnsi="Didact Gothic" w:cs="Didact Gothic" w:eastAsia="Didact Gothic"/>
          <w:color w:val="000000"/>
          <w:sz w:val="76"/>
          <w:szCs w:val="76"/>
        </w:rPr>
        <w:t xml:space="preserve">
</w:t>
      </w:r>
    </w:p>
    <w:p>
      <w:pPr>
        <w:numPr>
          <w:ilvl w:val="0"/>
          <w:numId w:val="1"/>
        </w:numPr>
        <w:spacing w:after="0" w:before="0" w:line="336" w:lineRule="auto"/>
        <w:jc w:val="center"/>
      </w:pPr>
      <w:r>
        <w:rPr>
          <w:rFonts w:ascii="Didact Gothic" w:hAnsi="Didact Gothic" w:cs="Didact Gothic" w:eastAsia="Didact Gothic"/>
          <w:color w:val="000000"/>
          <w:sz w:val="20"/>
          <w:szCs w:val="20"/>
        </w:rPr>
        <w:t>Call Lift / Open Door.</w:t>
      </w:r>
      <w:r>
        <w:rPr>
          <w:rFonts w:ascii="Didact Gothic" w:hAnsi="Didact Gothic" w:cs="Didact Gothic" w:eastAsia="Didact Gothic"/>
          <w:color w:val="000000"/>
          <w:sz w:val="20"/>
          <w:szCs w:val="20"/>
        </w:rPr>
        <w:t xml:space="preserve"> Press &amp; hold the down button till it illuminates red. Lift door will open automatically. 
</w:t>
      </w:r>
    </w:p>
    <w:p>
      <w:pPr>
        <w:numPr>
          <w:ilvl w:val="0"/>
          <w:numId w:val="1"/>
        </w:numPr>
        <w:spacing w:after="0" w:before="0" w:line="336" w:lineRule="auto"/>
        <w:jc w:val="center"/>
      </w:pPr>
      <w:r>
        <w:rPr>
          <w:rFonts w:ascii="Didact Gothic" w:hAnsi="Didact Gothic" w:cs="Didact Gothic" w:eastAsia="Didact Gothic"/>
          <w:color w:val="000000"/>
          <w:sz w:val="20"/>
          <w:szCs w:val="20"/>
        </w:rPr>
        <w:t xml:space="preserve">Close door. </w:t>
      </w:r>
      <w:r>
        <w:rPr>
          <w:rFonts w:ascii="Didact Gothic" w:hAnsi="Didact Gothic" w:cs="Didact Gothic" w:eastAsia="Didact Gothic"/>
          <w:color w:val="000000"/>
          <w:sz w:val="20"/>
          <w:szCs w:val="20"/>
        </w:rPr>
        <w:t xml:space="preserve">Press and Hold the UP Button till it illuminates red. Lift door will close automatically. 
</w:t>
      </w:r>
    </w:p>
    <w:p>
      <w:pPr>
        <w:numPr>
          <w:ilvl w:val="0"/>
          <w:numId w:val="1"/>
        </w:numPr>
        <w:spacing w:after="0" w:before="0" w:line="336" w:lineRule="auto"/>
        <w:jc w:val="center"/>
      </w:pPr>
      <w:r>
        <w:rPr>
          <w:rFonts w:ascii="Didact Gothic" w:hAnsi="Didact Gothic" w:cs="Didact Gothic" w:eastAsia="Didact Gothic"/>
          <w:color w:val="000000"/>
          <w:sz w:val="20"/>
          <w:szCs w:val="20"/>
        </w:rPr>
        <w:t xml:space="preserve">To operate Lift from inside. </w:t>
      </w:r>
      <w:r>
        <w:rPr>
          <w:rFonts w:ascii="Didact Gothic" w:hAnsi="Didact Gothic" w:cs="Didact Gothic" w:eastAsia="Didact Gothic"/>
          <w:color w:val="000000"/>
          <w:sz w:val="20"/>
          <w:szCs w:val="20"/>
        </w:rPr>
        <w:t xml:space="preserve">Press and hold the up button until the lift completely ascends. Lift Door will open automatically. 
</w:t>
      </w:r>
    </w:p>
    <w:p>
      <w:pPr>
        <w:numPr>
          <w:ilvl w:val="0"/>
          <w:numId w:val="1"/>
        </w:numPr>
        <w:spacing w:after="0" w:before="0" w:line="336" w:lineRule="auto"/>
        <w:jc w:val="center"/>
      </w:pPr>
      <w:r>
        <w:rPr>
          <w:rFonts w:ascii="Didact Gothic" w:hAnsi="Didact Gothic" w:cs="Didact Gothic" w:eastAsia="Didact Gothic"/>
          <w:color w:val="000000"/>
          <w:sz w:val="20"/>
          <w:szCs w:val="20"/>
        </w:rPr>
        <w:t>To Operate Lift from outside.</w:t>
      </w:r>
      <w:r>
        <w:rPr>
          <w:rFonts w:ascii="Didact Gothic" w:hAnsi="Didact Gothic" w:cs="Didact Gothic" w:eastAsia="Didact Gothic"/>
          <w:color w:val="000000"/>
          <w:sz w:val="20"/>
          <w:szCs w:val="20"/>
        </w:rPr>
        <w:t xml:space="preserve"> Press and hold the up button until it illuminates red. Lift will ascend and door will open automatically. 
</w:t>
      </w:r>
    </w:p>
    <w:p>
      <w:pPr>
        <w:numPr>
          <w:ilvl w:val="0"/>
          <w:numId w:val="1"/>
        </w:numPr>
        <w:spacing w:after="0" w:before="0" w:line="336" w:lineRule="auto"/>
        <w:jc w:val="center"/>
      </w:pPr>
      <w:r>
        <w:rPr>
          <w:rFonts w:ascii="Didact Gothic" w:hAnsi="Didact Gothic" w:cs="Didact Gothic" w:eastAsia="Didact Gothic"/>
          <w:color w:val="000000"/>
          <w:sz w:val="20"/>
          <w:szCs w:val="20"/>
        </w:rPr>
        <w:t>Close Door.</w:t>
      </w:r>
      <w:r>
        <w:rPr>
          <w:rFonts w:ascii="Didact Gothic" w:hAnsi="Didact Gothic" w:cs="Didact Gothic" w:eastAsia="Didact Gothic"/>
          <w:color w:val="000000"/>
          <w:sz w:val="20"/>
          <w:szCs w:val="20"/>
        </w:rPr>
        <w:t xml:space="preserve"> Door will close automatically after a few moments. But can be closed by pressing the down button till it illuminates red. 
</w:t>
      </w:r>
    </w:p>
    <w:p>
      <w:pPr>
        <w:spacing w:after="120" w:before="120" w:line="336" w:lineRule="auto"/>
        <w:ind w:firstLine="0" w:start="0"/>
        <w:jc w:val="center"/>
      </w:pPr>
      <w:r>
        <w:rPr>
          <w:rFonts w:ascii="Didact Gothic" w:hAnsi="Didact Gothic" w:cs="Didact Gothic" w:eastAsia="Didact Gothic"/>
          <w:color w:val="000000"/>
          <w:sz w:val="20"/>
          <w:szCs w:val="20"/>
        </w:rPr>
        <w:t xml:space="preserve">Going Down. </w:t>
      </w:r>
      <w:r>
        <w:rPr>
          <w:rFonts w:ascii="Didact Gothic" w:hAnsi="Didact Gothic" w:cs="Didact Gothic" w:eastAsia="Didact Gothic"/>
          <w:color w:val="000000"/>
          <w:sz w:val="20"/>
          <w:szCs w:val="20"/>
        </w:rPr>
        <w:t xml:space="preserve">
</w:t>
      </w:r>
    </w:p>
    <w:p>
      <w:pPr>
        <w:numPr>
          <w:ilvl w:val="0"/>
          <w:numId w:val="2"/>
        </w:numPr>
        <w:spacing w:after="0" w:before="0" w:line="336" w:lineRule="auto"/>
        <w:jc w:val="center"/>
      </w:pPr>
      <w:r>
        <w:rPr>
          <w:rFonts w:ascii="Didact Gothic" w:hAnsi="Didact Gothic" w:cs="Didact Gothic" w:eastAsia="Didact Gothic"/>
          <w:color w:val="000000"/>
          <w:sz w:val="20"/>
          <w:szCs w:val="20"/>
        </w:rPr>
        <w:t>Call Lift / Open Door.</w:t>
      </w:r>
      <w:r>
        <w:rPr>
          <w:rFonts w:ascii="Didact Gothic" w:hAnsi="Didact Gothic" w:cs="Didact Gothic" w:eastAsia="Didact Gothic"/>
          <w:color w:val="000000"/>
          <w:sz w:val="20"/>
          <w:szCs w:val="20"/>
        </w:rPr>
        <w:t xml:space="preserve"> Press &amp; hold the UP button till it illuminates red. Lift door will open automatically. 
</w:t>
      </w:r>
    </w:p>
    <w:p>
      <w:pPr>
        <w:numPr>
          <w:ilvl w:val="0"/>
          <w:numId w:val="2"/>
        </w:numPr>
        <w:spacing w:after="0" w:before="0" w:line="336" w:lineRule="auto"/>
        <w:jc w:val="center"/>
      </w:pPr>
      <w:r>
        <w:rPr>
          <w:rFonts w:ascii="Didact Gothic" w:hAnsi="Didact Gothic" w:cs="Didact Gothic" w:eastAsia="Didact Gothic"/>
          <w:color w:val="000000"/>
          <w:sz w:val="20"/>
          <w:szCs w:val="20"/>
        </w:rPr>
        <w:t xml:space="preserve">Close door. </w:t>
      </w:r>
      <w:r>
        <w:rPr>
          <w:rFonts w:ascii="Didact Gothic" w:hAnsi="Didact Gothic" w:cs="Didact Gothic" w:eastAsia="Didact Gothic"/>
          <w:color w:val="000000"/>
          <w:sz w:val="20"/>
          <w:szCs w:val="20"/>
        </w:rPr>
        <w:t xml:space="preserve">Press and hold the DOWN Button till it illuminates red. Lift door will close automatically. 
</w:t>
      </w:r>
    </w:p>
    <w:p>
      <w:pPr>
        <w:numPr>
          <w:ilvl w:val="0"/>
          <w:numId w:val="2"/>
        </w:numPr>
        <w:spacing w:after="0" w:before="0" w:line="336" w:lineRule="auto"/>
        <w:jc w:val="center"/>
      </w:pPr>
      <w:r>
        <w:rPr>
          <w:rFonts w:ascii="Didact Gothic" w:hAnsi="Didact Gothic" w:cs="Didact Gothic" w:eastAsia="Didact Gothic"/>
          <w:color w:val="000000"/>
          <w:sz w:val="20"/>
          <w:szCs w:val="20"/>
        </w:rPr>
        <w:t xml:space="preserve">To operate Lift from inside. </w:t>
      </w:r>
      <w:r>
        <w:rPr>
          <w:rFonts w:ascii="Didact Gothic" w:hAnsi="Didact Gothic" w:cs="Didact Gothic" w:eastAsia="Didact Gothic"/>
          <w:color w:val="000000"/>
          <w:sz w:val="20"/>
          <w:szCs w:val="20"/>
        </w:rPr>
        <w:t xml:space="preserve">Press and hold the DOWN button until the lift completely ascends. Lift Door will open automatically. 
</w:t>
      </w:r>
    </w:p>
    <w:p>
      <w:pPr>
        <w:numPr>
          <w:ilvl w:val="0"/>
          <w:numId w:val="2"/>
        </w:numPr>
        <w:spacing w:after="0" w:before="0" w:line="336" w:lineRule="auto"/>
        <w:jc w:val="center"/>
      </w:pPr>
      <w:r>
        <w:rPr>
          <w:rFonts w:ascii="Didact Gothic" w:hAnsi="Didact Gothic" w:cs="Didact Gothic" w:eastAsia="Didact Gothic"/>
          <w:color w:val="000000"/>
          <w:sz w:val="20"/>
          <w:szCs w:val="20"/>
        </w:rPr>
        <w:t>To Operate Lift from outside.</w:t>
      </w:r>
      <w:r>
        <w:rPr>
          <w:rFonts w:ascii="Didact Gothic" w:hAnsi="Didact Gothic" w:cs="Didact Gothic" w:eastAsia="Didact Gothic"/>
          <w:color w:val="000000"/>
          <w:sz w:val="20"/>
          <w:szCs w:val="20"/>
        </w:rPr>
        <w:t xml:space="preserve"> Press and hold the DOWN button until it illuminates red. Lift will ascend and door will open automatically. 
</w:t>
      </w:r>
    </w:p>
    <w:p>
      <w:pPr>
        <w:numPr>
          <w:ilvl w:val="0"/>
          <w:numId w:val="2"/>
        </w:numPr>
        <w:spacing w:after="0" w:before="0" w:line="336" w:lineRule="auto"/>
        <w:jc w:val="center"/>
      </w:pPr>
      <w:r>
        <w:rPr>
          <w:rFonts w:ascii="Didact Gothic" w:hAnsi="Didact Gothic" w:cs="Didact Gothic" w:eastAsia="Didact Gothic"/>
          <w:color w:val="000000"/>
          <w:sz w:val="20"/>
          <w:szCs w:val="20"/>
        </w:rPr>
        <w:t>Close Door.</w:t>
      </w:r>
      <w:r>
        <w:rPr>
          <w:rFonts w:ascii="Didact Gothic" w:hAnsi="Didact Gothic" w:cs="Didact Gothic" w:eastAsia="Didact Gothic"/>
          <w:color w:val="000000"/>
          <w:sz w:val="20"/>
          <w:szCs w:val="20"/>
        </w:rPr>
        <w:t xml:space="preserve"> Door will close automatically after a few moments. But can be closed by pressing the UP button till it illuminates red. </w:t>
      </w: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PLEASE NOTE Lift will not function if any of the emergency stops are pressed. There are 4 emergency stop buttons in total, 1 at the bottom of the lift, 2 inside the lift and 1 at the top of the lift. To disengage the stops, please twist clockwise. All buttons will flash red if any of the Emergency Stops are engaged. </w:t>
      </w:r>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Jua" w:hAnsi="Jua" w:cs="Jua" w:eastAsia="Jua"/>
          <w:color w:val="000000"/>
          <w:sz w:val="84"/>
          <w:szCs w:val="84"/>
        </w:rPr>
        <w:t>THE VENUE - continued</w:t>
      </w:r>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Didact Gothic" w:hAnsi="Didact Gothic" w:cs="Didact Gothic" w:eastAsia="Didact Gothic"/>
          <w:color w:val="000000"/>
          <w:sz w:val="20"/>
          <w:szCs w:val="20"/>
        </w:rPr>
        <w:t xml:space="preserve">Inside Trades Hall  </w:t>
        <w:br/>
      </w:r>
      <w:r>
        <w:rPr>
          <w:rFonts w:ascii="Didact Gothic" w:hAnsi="Didact Gothic" w:cs="Didact Gothic" w:eastAsia="Didact Gothic"/>
          <w:color w:val="000000"/>
          <w:sz w:val="20"/>
          <w:szCs w:val="20"/>
        </w:rPr>
        <w:t xml:space="preserve"> Once you enter through the South Portico Door, you are inside the “Lygon St Building”. There is a corridor (pictured) that will lead you to the Loading Dock Bar, the accessible bathroom, and the internal lift. </w:t>
        <w:br/>
      </w:r>
      <w:r>
        <w:rPr>
          <w:rFonts w:ascii="Didact Gothic" w:hAnsi="Didact Gothic" w:cs="Didact Gothic" w:eastAsia="Didact Gothic"/>
          <w:color w:val="000000"/>
          <w:sz w:val="20"/>
          <w:szCs w:val="20"/>
        </w:rPr>
        <w:t xml:space="preserve"> During the Festival this space is more dimly lit with coloured lighting. </w:t>
        <w:br/>
      </w:r>
      <w:r>
        <w:rPr>
          <w:rFonts w:ascii="Didact Gothic" w:hAnsi="Didact Gothic" w:cs="Didact Gothic" w:eastAsia="Didact Gothic"/>
          <w:color w:val="000000"/>
          <w:sz w:val="20"/>
          <w:szCs w:val="20"/>
        </w:rPr>
        <w:t xml:space="preserve"> It can be quite crowded in this corridor at times.
</w:t>
      </w:r>
    </w:p>
    <w:p>
      <w:pPr>
        <w:spacing w:after="120" w:before="120"/>
        <w:jc w:val="center"/>
      </w:pPr>
      <w:r>
        <w:drawing>
          <wp:inline distT="0" distR="0" distB="0" distL="0">
            <wp:extent cx="3907085" cy="2929380"/>
            <wp:docPr id="4" name="Drawing 4" descr="2abaa75736ff7c79fcbc7c6c5162dfd7.png"/>
            <a:graphic xmlns:a="http://schemas.openxmlformats.org/drawingml/2006/main">
              <a:graphicData uri="http://schemas.openxmlformats.org/drawingml/2006/picture">
                <pic:pic xmlns:pic="http://schemas.openxmlformats.org/drawingml/2006/picture">
                  <pic:nvPicPr>
                    <pic:cNvPr id="0" name="Picture 4" descr="2abaa75736ff7c79fcbc7c6c5162dfd7.png"/>
                    <pic:cNvPicPr>
                      <a:picLocks noChangeAspect="true"/>
                    </pic:cNvPicPr>
                  </pic:nvPicPr>
                  <pic:blipFill>
                    <a:blip r:embed="rId11"/>
                    <a:stretch>
                      <a:fillRect/>
                    </a:stretch>
                  </pic:blipFill>
                  <pic:spPr>
                    <a:xfrm flipH="false" flipV="false">
                      <a:off x="0" y="0"/>
                      <a:ext cx="3907085" cy="2929380"/>
                    </a:xfrm>
                    <a:prstGeom prst="rect">
                      <a:avLst/>
                    </a:prstGeom>
                  </pic:spPr>
                </pic:pic>
              </a:graphicData>
            </a:graphic>
          </wp:inline>
        </w:drawing>
      </w:r>
    </w:p>
    <w:p>
      <w:pPr>
        <w:spacing w:after="120" w:before="120" w:line="336" w:lineRule="auto"/>
        <w:ind w:firstLine="0" w:start="0"/>
        <w:jc w:val="center"/>
      </w:pPr>
      <w:r>
        <w:rPr>
          <w:rFonts w:ascii="Didact Gothic" w:hAnsi="Didact Gothic" w:cs="Didact Gothic" w:eastAsia="Didact Gothic"/>
          <w:color w:val="000000"/>
          <w:sz w:val="20"/>
          <w:szCs w:val="20"/>
        </w:rPr>
        <w:t>Image Description</w:t>
      </w: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 The interior of Trades Hall. To the right is an ascending staircase, with a wooden rail on the wall. To the left is a corridor which turns right. A dark door is at the end of the corridor. The top two thirds of the walls are beige, with a green feature between the wooden skirting board and frieze. A floral-patterned frieze curves around the wall and runs along it. The floor is dark green. Lights hang from the ceiling.  </w:t>
        <w:br/>
      </w: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 This is a continuation of the same corridor. The doorway that has light spilling through it will lead you to the Loading Dock Bar, accessible bathroom, and internal lift.
</w:t>
      </w:r>
    </w:p>
    <w:p>
      <w:pPr>
        <w:spacing w:after="120" w:before="120"/>
        <w:jc w:val="center"/>
      </w:pPr>
      <w:r>
        <w:drawing>
          <wp:inline distT="0" distR="0" distB="0" distL="0">
            <wp:extent cx="3418154" cy="2563615"/>
            <wp:docPr id="5" name="Drawing 5" descr="7bbe9ca1ad057b9f77a073fcf2f79b4f.png"/>
            <a:graphic xmlns:a="http://schemas.openxmlformats.org/drawingml/2006/main">
              <a:graphicData uri="http://schemas.openxmlformats.org/drawingml/2006/picture">
                <pic:pic xmlns:pic="http://schemas.openxmlformats.org/drawingml/2006/picture">
                  <pic:nvPicPr>
                    <pic:cNvPr id="0" name="Picture 5" descr="7bbe9ca1ad057b9f77a073fcf2f79b4f.png"/>
                    <pic:cNvPicPr>
                      <a:picLocks noChangeAspect="true"/>
                    </pic:cNvPicPr>
                  </pic:nvPicPr>
                  <pic:blipFill>
                    <a:blip r:embed="rId12"/>
                    <a:stretch>
                      <a:fillRect/>
                    </a:stretch>
                  </pic:blipFill>
                  <pic:spPr>
                    <a:xfrm flipH="false" flipV="false">
                      <a:off x="0" y="0"/>
                      <a:ext cx="3418154" cy="2563615"/>
                    </a:xfrm>
                    <a:prstGeom prst="rect">
                      <a:avLst/>
                    </a:prstGeom>
                  </pic:spPr>
                </pic:pic>
              </a:graphicData>
            </a:graphic>
          </wp:inline>
        </w:drawing>
      </w:r>
    </w:p>
    <w:p>
      <w:pPr>
        <w:spacing w:after="120" w:before="120" w:line="336" w:lineRule="auto"/>
        <w:ind w:firstLine="0" w:start="0"/>
        <w:jc w:val="center"/>
      </w:pPr>
      <w:r>
        <w:rPr>
          <w:rFonts w:ascii="Didact Gothic" w:hAnsi="Didact Gothic" w:cs="Didact Gothic" w:eastAsia="Didact Gothic"/>
          <w:color w:val="000000"/>
          <w:sz w:val="20"/>
          <w:szCs w:val="20"/>
        </w:rPr>
        <w:t>Image Description</w:t>
      </w:r>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The corridor facing the viewer has a closed brown door with glass windows, and a number 2 in the centre. Next to the door is a small stretch of wall. The top two thirds of the wall is beige, with a dark green feature between the wooden skirting board and a frieze. A floral-patterned frieze runs horizontally along the centre of the wall between the beige and green. The floor is green. The wall is broken up by rectangular archway leading to an adjacent corridor. </w:t>
        <w:br/>
      </w:r>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This is a continuation of the same corridor. On the left is the ground floor accessible bathroom. Further along is the internal lift, and the doorway that leads you to the Loading Dock. This corridor is somewhat darker during the Festival, lit with coloured lighting.
</w:t>
      </w:r>
    </w:p>
    <w:p>
      <w:pPr>
        <w:spacing w:after="120" w:before="120"/>
        <w:jc w:val="center"/>
      </w:pPr>
      <w:r>
        <w:drawing>
          <wp:inline distT="0" distR="0" distB="0" distL="0">
            <wp:extent cx="3231446" cy="2423584"/>
            <wp:docPr id="6" name="Drawing 6" descr="fb5dbff7f125713aaefcddab3030d12c.png"/>
            <a:graphic xmlns:a="http://schemas.openxmlformats.org/drawingml/2006/main">
              <a:graphicData uri="http://schemas.openxmlformats.org/drawingml/2006/picture">
                <pic:pic xmlns:pic="http://schemas.openxmlformats.org/drawingml/2006/picture">
                  <pic:nvPicPr>
                    <pic:cNvPr id="0" name="Picture 6" descr="fb5dbff7f125713aaefcddab3030d12c.png"/>
                    <pic:cNvPicPr>
                      <a:picLocks noChangeAspect="true"/>
                    </pic:cNvPicPr>
                  </pic:nvPicPr>
                  <pic:blipFill>
                    <a:blip r:embed="rId13"/>
                    <a:stretch>
                      <a:fillRect/>
                    </a:stretch>
                  </pic:blipFill>
                  <pic:spPr>
                    <a:xfrm flipH="false" flipV="false">
                      <a:off x="0" y="0"/>
                      <a:ext cx="3231446" cy="2423584"/>
                    </a:xfrm>
                    <a:prstGeom prst="rect">
                      <a:avLst/>
                    </a:prstGeom>
                  </pic:spPr>
                </pic:pic>
              </a:graphicData>
            </a:graphic>
          </wp:inline>
        </w:drawing>
      </w:r>
    </w:p>
    <w:p>
      <w:pPr>
        <w:spacing w:after="120" w:before="120" w:line="336" w:lineRule="auto"/>
        <w:ind w:firstLine="0" w:start="0"/>
        <w:jc w:val="center"/>
      </w:pPr>
      <w:r>
        <w:rPr>
          <w:rFonts w:ascii="Didact Gothic" w:hAnsi="Didact Gothic" w:cs="Didact Gothic" w:eastAsia="Didact Gothic"/>
          <w:color w:val="000000"/>
          <w:sz w:val="20"/>
          <w:szCs w:val="20"/>
        </w:rPr>
        <w:t>Image Description</w:t>
      </w:r>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The corridor is a beige colour with some paint marks and scuffs on the walls. The floor is green vinyl, and there is a small silver decal on the ground with a symbol of a person using a wheelchair on it, and a hand pointing further down the corridor. </w:t>
        <w:br/>
      </w:r>
      <w:r>
        <w:rPr>
          <w:rFonts w:ascii="Didact Gothic" w:hAnsi="Didact Gothic" w:cs="Didact Gothic" w:eastAsia="Didact Gothic"/>
          <w:color w:val="000000"/>
          <w:sz w:val="20"/>
          <w:szCs w:val="20"/>
        </w:rPr>
        <w:t xml:space="preserve"> On the left wall of the corridor there is a doorway that leads to the ground-floor accessible bathroom. </w:t>
        <w:br/>
      </w:r>
      <w:r>
        <w:rPr>
          <w:rFonts w:ascii="Didact Gothic" w:hAnsi="Didact Gothic" w:cs="Didact Gothic" w:eastAsia="Didact Gothic"/>
          <w:color w:val="000000"/>
          <w:sz w:val="20"/>
          <w:szCs w:val="20"/>
        </w:rPr>
        <w:t xml:space="preserve"> There are some signs on the walls, including emergency evacuation procedures, directional signage to the lift, and a sign indicating the bathroom.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This is the accessible bathroom on the ground floor.
</w:t>
      </w:r>
    </w:p>
    <w:p>
      <w:pPr>
        <w:spacing w:after="120" w:before="120"/>
        <w:jc w:val="center"/>
      </w:pPr>
      <w:r>
        <w:drawing>
          <wp:inline distT="0" distR="0" distB="0" distL="0">
            <wp:extent cx="3278459" cy="2458844"/>
            <wp:docPr id="7" name="Drawing 7" descr="1ee274071be0ec99eebbc3703baa8f3c.png"/>
            <a:graphic xmlns:a="http://schemas.openxmlformats.org/drawingml/2006/main">
              <a:graphicData uri="http://schemas.openxmlformats.org/drawingml/2006/picture">
                <pic:pic xmlns:pic="http://schemas.openxmlformats.org/drawingml/2006/picture">
                  <pic:nvPicPr>
                    <pic:cNvPr id="0" name="Picture 7" descr="1ee274071be0ec99eebbc3703baa8f3c.png"/>
                    <pic:cNvPicPr>
                      <a:picLocks noChangeAspect="true"/>
                    </pic:cNvPicPr>
                  </pic:nvPicPr>
                  <pic:blipFill>
                    <a:blip r:embed="rId14"/>
                    <a:stretch>
                      <a:fillRect/>
                    </a:stretch>
                  </pic:blipFill>
                  <pic:spPr>
                    <a:xfrm flipH="false" flipV="false">
                      <a:off x="0" y="0"/>
                      <a:ext cx="3278459" cy="2458844"/>
                    </a:xfrm>
                    <a:prstGeom prst="rect">
                      <a:avLst/>
                    </a:prstGeom>
                  </pic:spPr>
                </pic:pic>
              </a:graphicData>
            </a:graphic>
          </wp:inline>
        </w:drawing>
      </w:r>
    </w:p>
    <w:p>
      <w:pPr>
        <w:spacing w:after="120" w:before="120" w:line="336" w:lineRule="auto"/>
        <w:ind w:firstLine="0" w:start="0"/>
        <w:jc w:val="center"/>
      </w:pPr>
      <w:r>
        <w:rPr>
          <w:rFonts w:ascii="Didact Gothic" w:hAnsi="Didact Gothic" w:cs="Didact Gothic" w:eastAsia="Didact Gothic"/>
          <w:color w:val="000000"/>
          <w:sz w:val="20"/>
          <w:szCs w:val="20"/>
        </w:rPr>
        <w:t>Image Description</w:t>
      </w:r>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The bathroom is a beige colour and is well lit from ceiling lights.  </w:t>
        <w:br/>
      </w:r>
      <w:r>
        <w:rPr>
          <w:rFonts w:ascii="Didact Gothic" w:hAnsi="Didact Gothic" w:cs="Didact Gothic" w:eastAsia="Didact Gothic"/>
          <w:color w:val="000000"/>
          <w:sz w:val="20"/>
          <w:szCs w:val="20"/>
        </w:rPr>
        <w:t xml:space="preserve"> There is a basin on the left, with a counter on the right-hand side. There is a bin in the left corner. In the right corner is a toilet with a railing on either side of the cistern. On the left side of the toilet is a sanitary bin.
</w:t>
      </w:r>
    </w:p>
    <w:p>
      <w:pPr>
        <w:spacing w:after="120" w:before="120" w:line="336" w:lineRule="auto"/>
        <w:ind w:firstLine="0" w:start="0"/>
        <w:jc w:val="center"/>
      </w:pPr>
      <w:r>
        <w:rPr>
          <w:rFonts w:ascii="Didact Gothic" w:hAnsi="Didact Gothic" w:cs="Didact Gothic" w:eastAsia="Didact Gothic"/>
          <w:color w:val="000000"/>
          <w:sz w:val="20"/>
          <w:szCs w:val="20"/>
        </w:rPr>
        <w:t xml:space="preserve"> This is the internal lift at the end of this corridor. It will take you from the ground floor to level one or level two. The ground floor is where four venues in the Festival Hub are located. The ground floor is also where the Loading Dock Bar is located, along with the box office, more bathrooms, the sensory friendly quiet space, and the courtyard. The first floor is where eight more venues in the Festival Hub are located on the first floor as well as a smaller bar and many more bathrooms (including more accessible bathrooms).
</w:t>
      </w:r>
    </w:p>
    <w:p>
      <w:pPr>
        <w:spacing w:after="120" w:before="120"/>
        <w:jc w:val="center"/>
      </w:pPr>
      <w:r>
        <w:drawing>
          <wp:inline distT="0" distR="0" distB="0" distL="0">
            <wp:extent cx="3261607" cy="2192054"/>
            <wp:docPr id="8" name="Drawing 8" descr="ccdcc147005291bbbdd161fe7c56a842.png"/>
            <a:graphic xmlns:a="http://schemas.openxmlformats.org/drawingml/2006/main">
              <a:graphicData uri="http://schemas.openxmlformats.org/drawingml/2006/picture">
                <pic:pic xmlns:pic="http://schemas.openxmlformats.org/drawingml/2006/picture">
                  <pic:nvPicPr>
                    <pic:cNvPr id="0" name="Picture 8" descr="ccdcc147005291bbbdd161fe7c56a842.png"/>
                    <pic:cNvPicPr>
                      <a:picLocks noChangeAspect="true"/>
                    </pic:cNvPicPr>
                  </pic:nvPicPr>
                  <pic:blipFill>
                    <a:blip r:embed="rId15"/>
                    <a:stretch>
                      <a:fillRect/>
                    </a:stretch>
                  </pic:blipFill>
                  <pic:spPr>
                    <a:xfrm flipH="false" flipV="false">
                      <a:off x="0" y="0"/>
                      <a:ext cx="3261607" cy="2192054"/>
                    </a:xfrm>
                    <a:prstGeom prst="rect">
                      <a:avLst/>
                    </a:prstGeom>
                  </pic:spPr>
                </pic:pic>
              </a:graphicData>
            </a:graphic>
          </wp:inline>
        </w:drawing>
      </w:r>
    </w:p>
    <w:p>
      <w:pPr>
        <w:spacing w:after="120" w:before="120" w:line="336" w:lineRule="auto"/>
        <w:ind w:firstLine="0" w:start="0"/>
        <w:jc w:val="center"/>
      </w:pPr>
      <w:r>
        <w:rPr>
          <w:rFonts w:ascii="Didact Gothic" w:hAnsi="Didact Gothic" w:cs="Didact Gothic" w:eastAsia="Didact Gothic"/>
          <w:color w:val="000000"/>
          <w:sz w:val="20"/>
          <w:szCs w:val="20"/>
        </w:rPr>
        <w:t xml:space="preserve">Image Description 
</w:t>
      </w:r>
    </w:p>
    <w:p>
      <w:pPr>
        <w:spacing w:after="120" w:before="120" w:line="336" w:lineRule="auto"/>
        <w:ind w:firstLine="0" w:start="0"/>
        <w:jc w:val="center"/>
      </w:pPr>
      <w:r>
        <w:rPr>
          <w:rFonts w:ascii="Didact Gothic" w:hAnsi="Didact Gothic" w:cs="Didact Gothic" w:eastAsia="Didact Gothic"/>
          <w:color w:val="000000"/>
          <w:sz w:val="20"/>
          <w:szCs w:val="20"/>
        </w:rPr>
        <w:t xml:space="preserve">A photo of the internal lift. On the left side of the image is a corridor that led from the South Portico Door. In the centre of the image is the lift. There are buttons on the left of the lift and a light at the top. In front of the lift, on the ground is a carpeted area above some wooden floor surface. </w:t>
        <w:br/>
      </w:r>
      <w:r>
        <w:rPr>
          <w:rFonts w:ascii="Didact Gothic" w:hAnsi="Didact Gothic" w:cs="Didact Gothic" w:eastAsia="Didact Gothic"/>
          <w:color w:val="000000"/>
          <w:sz w:val="20"/>
          <w:szCs w:val="20"/>
        </w:rPr>
        <w:t xml:space="preserve"> On the right side of the lift is a defibrillator. </w:t>
        <w:br/>
      </w:r>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This is the door that leads from the South Portico Door through to the courtyard and Loading Dock Bar, and all other ground floor facilities. </w:t>
        <w:br/>
      </w:r>
      <w:r>
        <w:rPr>
          <w:rFonts w:ascii="Didact Gothic" w:hAnsi="Didact Gothic" w:cs="Didact Gothic" w:eastAsia="Didact Gothic"/>
          <w:color w:val="000000"/>
          <w:sz w:val="20"/>
          <w:szCs w:val="20"/>
        </w:rPr>
        <w:t xml:space="preserve"> This corridor is dimly lit during the Festival, with coloured lighting.
</w:t>
      </w:r>
    </w:p>
    <w:p>
      <w:pPr>
        <w:spacing w:after="120" w:before="120"/>
        <w:jc w:val="center"/>
      </w:pPr>
      <w:r>
        <w:drawing>
          <wp:inline distT="0" distR="0" distB="0" distL="0">
            <wp:extent cx="3293866" cy="2470924"/>
            <wp:docPr id="9" name="Drawing 9" descr="dab377a54a30810ec6d172aab201a5db.png"/>
            <a:graphic xmlns:a="http://schemas.openxmlformats.org/drawingml/2006/main">
              <a:graphicData uri="http://schemas.openxmlformats.org/drawingml/2006/picture">
                <pic:pic xmlns:pic="http://schemas.openxmlformats.org/drawingml/2006/picture">
                  <pic:nvPicPr>
                    <pic:cNvPr id="0" name="Picture 9" descr="dab377a54a30810ec6d172aab201a5db.png"/>
                    <pic:cNvPicPr>
                      <a:picLocks noChangeAspect="true"/>
                    </pic:cNvPicPr>
                  </pic:nvPicPr>
                  <pic:blipFill>
                    <a:blip r:embed="rId16"/>
                    <a:stretch>
                      <a:fillRect/>
                    </a:stretch>
                  </pic:blipFill>
                  <pic:spPr>
                    <a:xfrm flipH="false" flipV="false">
                      <a:off x="0" y="0"/>
                      <a:ext cx="3293866" cy="2470924"/>
                    </a:xfrm>
                    <a:prstGeom prst="rect">
                      <a:avLst/>
                    </a:prstGeom>
                  </pic:spPr>
                </pic:pic>
              </a:graphicData>
            </a:graphic>
          </wp:inline>
        </w:drawing>
      </w:r>
    </w:p>
    <w:p>
      <w:pPr>
        <w:spacing w:after="120" w:before="120" w:line="336" w:lineRule="auto"/>
        <w:ind w:firstLine="0" w:start="0"/>
        <w:jc w:val="center"/>
      </w:pPr>
      <w:r>
        <w:rPr>
          <w:rFonts w:ascii="Didact Gothic" w:hAnsi="Didact Gothic" w:cs="Didact Gothic" w:eastAsia="Didact Gothic"/>
          <w:color w:val="000000"/>
          <w:sz w:val="20"/>
          <w:szCs w:val="20"/>
        </w:rPr>
        <w:t>Image Description</w:t>
      </w:r>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Didact Gothic" w:hAnsi="Didact Gothic" w:cs="Didact Gothic" w:eastAsia="Didact Gothic"/>
          <w:color w:val="000000"/>
          <w:sz w:val="20"/>
          <w:szCs w:val="20"/>
        </w:rPr>
        <w:t xml:space="preserve">An image of the courtyard door. On the floor is a carpeted area sitting on top of a wooden floor. On the wall to the left of the image is a defibrillator. To the right of the defibrillator is a narrow and tall window. On the wall on the right side of the image is a double door with a window panel in each door. </w:t>
        <w:br/>
      </w:r>
      <w:r>
        <w:rPr>
          <w:rFonts w:ascii="Didact Gothic" w:hAnsi="Didact Gothic" w:cs="Didact Gothic" w:eastAsia="Didact Gothic"/>
          <w:color w:val="000000"/>
          <w:sz w:val="20"/>
          <w:szCs w:val="20"/>
        </w:rPr>
        <w:t xml:space="preserve"> On the right side of the door is an evacuation map.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This is the entrance into the Loading Dock, after you exit the South Portico corridor. The Loading Dock is where the bar, food service, box office, seating, bathrooms, and other facilities are located. It’s a great place to head to prior to seeing your show, and there are staff and volunteers in purple t-shirts in this area who can assist you in finding where you need to go. </w:t>
        <w:br/>
      </w:r>
      <w:r>
        <w:rPr>
          <w:rFonts w:ascii="Didact Gothic" w:hAnsi="Didact Gothic" w:cs="Didact Gothic" w:eastAsia="Didact Gothic"/>
          <w:color w:val="000000"/>
          <w:sz w:val="20"/>
          <w:szCs w:val="20"/>
        </w:rPr>
        <w:t xml:space="preserve"> The Loading Dock Bar looks vastly different during the Festival. There are coloured lights, colourful carpets, posters on the walls, decorations and music playing. It can be quite crowded in the Loading Dock during the Festival.
</w:t>
      </w:r>
    </w:p>
    <w:p>
      <w:pPr>
        <w:spacing w:after="120" w:before="120"/>
        <w:jc w:val="center"/>
      </w:pPr>
      <w:r>
        <w:drawing>
          <wp:inline distT="0" distR="0" distB="0" distL="0">
            <wp:extent cx="3540387" cy="2654683"/>
            <wp:docPr id="10" name="Drawing 10" descr="4c0d6127e50b34a643d64ffb1da434d7.png"/>
            <a:graphic xmlns:a="http://schemas.openxmlformats.org/drawingml/2006/main">
              <a:graphicData uri="http://schemas.openxmlformats.org/drawingml/2006/picture">
                <pic:pic xmlns:pic="http://schemas.openxmlformats.org/drawingml/2006/picture">
                  <pic:nvPicPr>
                    <pic:cNvPr id="0" name="Picture 10" descr="4c0d6127e50b34a643d64ffb1da434d7.png"/>
                    <pic:cNvPicPr>
                      <a:picLocks noChangeAspect="true"/>
                    </pic:cNvPicPr>
                  </pic:nvPicPr>
                  <pic:blipFill>
                    <a:blip r:embed="rId17"/>
                    <a:stretch>
                      <a:fillRect/>
                    </a:stretch>
                  </pic:blipFill>
                  <pic:spPr>
                    <a:xfrm flipH="false" flipV="false">
                      <a:off x="0" y="0"/>
                      <a:ext cx="3540387" cy="2654683"/>
                    </a:xfrm>
                    <a:prstGeom prst="rect">
                      <a:avLst/>
                    </a:prstGeom>
                  </pic:spPr>
                </pic:pic>
              </a:graphicData>
            </a:graphic>
          </wp:inline>
        </w:drawing>
      </w:r>
    </w:p>
    <w:p>
      <w:pPr>
        <w:spacing w:after="120" w:before="120" w:line="336" w:lineRule="auto"/>
        <w:ind w:firstLine="0" w:start="0"/>
        <w:jc w:val="center"/>
      </w:pPr>
      <w:r>
        <w:rPr>
          <w:rFonts w:ascii="Didact Gothic" w:hAnsi="Didact Gothic" w:cs="Didact Gothic" w:eastAsia="Didact Gothic"/>
          <w:color w:val="000000"/>
          <w:sz w:val="20"/>
          <w:szCs w:val="20"/>
        </w:rPr>
        <w:t>Image Description</w:t>
      </w: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 A photo of a doorway that leads to a dimly lit concrete area. On the left side of the doorway is a fire hose reel. On the right side of the doorway is a powerpoint and a coffee table beneath it, against the wall. </w:t>
        <w:br/>
      </w:r>
      <w:r>
        <w:rPr>
          <w:rFonts w:ascii="Didact Gothic" w:hAnsi="Didact Gothic" w:cs="Didact Gothic" w:eastAsia="Didact Gothic"/>
          <w:color w:val="000000"/>
          <w:sz w:val="20"/>
          <w:szCs w:val="20"/>
        </w:rPr>
        <w:t xml:space="preserve"> Through the doorway you can see some concrete pillars and another doorway that leads to the Victoria St building.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This is the inside of the internal lift. It may look different during the Festival.
</w:t>
      </w:r>
    </w:p>
    <w:p>
      <w:pPr>
        <w:spacing w:after="120" w:before="120"/>
        <w:jc w:val="center"/>
      </w:pPr>
      <w:r>
        <w:drawing>
          <wp:inline distT="0" distR="0" distB="0" distL="0">
            <wp:extent cx="3383230" cy="2536222"/>
            <wp:docPr id="11" name="Drawing 11" descr="9f36a02b3a46a17b831ee2b954714f9e.png"/>
            <a:graphic xmlns:a="http://schemas.openxmlformats.org/drawingml/2006/main">
              <a:graphicData uri="http://schemas.openxmlformats.org/drawingml/2006/picture">
                <pic:pic xmlns:pic="http://schemas.openxmlformats.org/drawingml/2006/picture">
                  <pic:nvPicPr>
                    <pic:cNvPr id="0" name="Picture 11" descr="9f36a02b3a46a17b831ee2b954714f9e.png"/>
                    <pic:cNvPicPr>
                      <a:picLocks noChangeAspect="true"/>
                    </pic:cNvPicPr>
                  </pic:nvPicPr>
                  <pic:blipFill>
                    <a:blip r:embed="rId18"/>
                    <a:stretch>
                      <a:fillRect/>
                    </a:stretch>
                  </pic:blipFill>
                  <pic:spPr>
                    <a:xfrm flipH="false" flipV="false">
                      <a:off x="0" y="0"/>
                      <a:ext cx="3383230" cy="2536222"/>
                    </a:xfrm>
                    <a:prstGeom prst="rect">
                      <a:avLst/>
                    </a:prstGeom>
                  </pic:spPr>
                </pic:pic>
              </a:graphicData>
            </a:graphic>
          </wp:inline>
        </w:drawing>
      </w:r>
    </w:p>
    <w:p>
      <w:pPr>
        <w:spacing w:after="120" w:before="120" w:line="336" w:lineRule="auto"/>
        <w:ind w:firstLine="0" w:start="0"/>
        <w:jc w:val="center"/>
      </w:pPr>
      <w:r>
        <w:rPr>
          <w:rFonts w:ascii="Didact Gothic" w:hAnsi="Didact Gothic" w:cs="Didact Gothic" w:eastAsia="Didact Gothic"/>
          <w:color w:val="000000"/>
          <w:sz w:val="20"/>
          <w:szCs w:val="20"/>
        </w:rPr>
        <w:t>Image Description</w:t>
      </w: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 The inside of a lift. There is green protective fabric on the walls. The wall of buttons to choose a level is partially in view.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This is where you will be once you’ve exited the lift onto the first floor. If you head down the corridor on the left side of the image you will arrive at Common Rooms and the ETU Ballroom. If you head in the other direction you will arrive at Solidarity Hall, The Temple, Music Room, the can bar and thoroughfares to other venues.
</w:t>
      </w:r>
    </w:p>
    <w:p>
      <w:pPr>
        <w:spacing w:after="120" w:before="120"/>
        <w:jc w:val="center"/>
      </w:pPr>
      <w:r>
        <w:drawing>
          <wp:inline distT="0" distR="0" distB="0" distL="0">
            <wp:extent cx="2981608" cy="2236206"/>
            <wp:docPr id="12" name="Drawing 12" descr="fbe7bde29dea59d25647930e108dbddd.png"/>
            <a:graphic xmlns:a="http://schemas.openxmlformats.org/drawingml/2006/main">
              <a:graphicData uri="http://schemas.openxmlformats.org/drawingml/2006/picture">
                <pic:pic xmlns:pic="http://schemas.openxmlformats.org/drawingml/2006/picture">
                  <pic:nvPicPr>
                    <pic:cNvPr id="0" name="Picture 12" descr="fbe7bde29dea59d25647930e108dbddd.png"/>
                    <pic:cNvPicPr>
                      <a:picLocks noChangeAspect="true"/>
                    </pic:cNvPicPr>
                  </pic:nvPicPr>
                  <pic:blipFill>
                    <a:blip r:embed="rId19"/>
                    <a:stretch>
                      <a:fillRect/>
                    </a:stretch>
                  </pic:blipFill>
                  <pic:spPr>
                    <a:xfrm flipH="false" flipV="false">
                      <a:off x="0" y="0"/>
                      <a:ext cx="2981608" cy="2236206"/>
                    </a:xfrm>
                    <a:prstGeom prst="rect">
                      <a:avLst/>
                    </a:prstGeom>
                  </pic:spPr>
                </pic:pic>
              </a:graphicData>
            </a:graphic>
          </wp:inline>
        </w:drawing>
      </w:r>
    </w:p>
    <w:p>
      <w:pPr>
        <w:spacing w:after="120" w:before="120" w:line="336" w:lineRule="auto"/>
        <w:ind w:firstLine="0" w:start="0"/>
        <w:jc w:val="center"/>
      </w:pPr>
      <w:r>
        <w:rPr>
          <w:rFonts w:ascii="Didact Gothic" w:hAnsi="Didact Gothic" w:cs="Didact Gothic" w:eastAsia="Didact Gothic"/>
          <w:color w:val="000000"/>
          <w:sz w:val="20"/>
          <w:szCs w:val="20"/>
        </w:rPr>
        <w:t>Image Description</w:t>
      </w: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 The outside of an internal lift. It has silver doors. A silver button is on the left side. The walls around the lift are greyish and the floor is green. Text above the button to call the lift reads ‘Do not use lift if there is a fire.’
</w:t>
      </w:r>
    </w:p>
    <w:p>
      <w:pPr>
        <w:spacing w:after="120" w:before="120" w:line="336" w:lineRule="auto"/>
        <w:ind w:firstLine="0" w:start="0"/>
        <w:jc w:val="center"/>
      </w:pP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Accessible toilets at Common Rooms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This corridor leads away from Common Rooms and ETU Ballroom, and towards the other venues on level one. It will be more dimly lit during the Festival with posters lining the walls. On the left wall is the door to the level one accessible bathroom.
</w:t>
      </w:r>
    </w:p>
    <w:p>
      <w:pPr>
        <w:spacing w:after="120" w:before="120"/>
        <w:jc w:val="center"/>
      </w:pPr>
      <w:r>
        <w:drawing>
          <wp:inline distT="0" distR="0" distB="0" distL="0">
            <wp:extent cx="3121303" cy="2665032"/>
            <wp:docPr id="13" name="Drawing 13" descr="e307d6777cb7a859bcf6aa9d0829fe99.png"/>
            <a:graphic xmlns:a="http://schemas.openxmlformats.org/drawingml/2006/main">
              <a:graphicData uri="http://schemas.openxmlformats.org/drawingml/2006/picture">
                <pic:pic xmlns:pic="http://schemas.openxmlformats.org/drawingml/2006/picture">
                  <pic:nvPicPr>
                    <pic:cNvPr id="0" name="Picture 13" descr="e307d6777cb7a859bcf6aa9d0829fe99.png"/>
                    <pic:cNvPicPr>
                      <a:picLocks noChangeAspect="true"/>
                    </pic:cNvPicPr>
                  </pic:nvPicPr>
                  <pic:blipFill>
                    <a:blip r:embed="rId20"/>
                    <a:stretch>
                      <a:fillRect/>
                    </a:stretch>
                  </pic:blipFill>
                  <pic:spPr>
                    <a:xfrm flipH="false" flipV="false">
                      <a:off x="0" y="0"/>
                      <a:ext cx="3121303" cy="2665032"/>
                    </a:xfrm>
                    <a:prstGeom prst="rect">
                      <a:avLst/>
                    </a:prstGeom>
                  </pic:spPr>
                </pic:pic>
              </a:graphicData>
            </a:graphic>
          </wp:inline>
        </w:drawing>
      </w:r>
    </w:p>
    <w:p>
      <w:pPr>
        <w:spacing w:after="120" w:before="120" w:line="336" w:lineRule="auto"/>
        <w:ind w:firstLine="0" w:start="0"/>
        <w:jc w:val="center"/>
      </w:pPr>
      <w:r>
        <w:rPr>
          <w:rFonts w:ascii="Didact Gothic" w:hAnsi="Didact Gothic" w:cs="Didact Gothic" w:eastAsia="Didact Gothic"/>
          <w:color w:val="000000"/>
          <w:sz w:val="20"/>
          <w:szCs w:val="20"/>
        </w:rPr>
        <w:t>Image Description</w:t>
      </w: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 An internal corridor with greyish walls, green floors and doorways on the left. One doorway is the entrance to an accessible toilet – a silver and blue sign with a wheelchair symbol is on the wall, indicating its purpose. The next doorway is partially in view – it’s open, and part of a yellow wet floor sign is resting on the inside edge of the doorway. At the end of the corridor are some double doors, that are open, and through the doors is further green floor and open space.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This is the level one accessible bathroom, taken inside the bathroom.
</w:t>
      </w:r>
    </w:p>
    <w:p>
      <w:pPr>
        <w:spacing w:after="120" w:before="120"/>
        <w:jc w:val="center"/>
      </w:pPr>
      <w:r>
        <w:drawing>
          <wp:inline distT="0" distR="0" distB="0" distL="0">
            <wp:extent cx="2859375" cy="2485251"/>
            <wp:docPr id="14" name="Drawing 14" descr="497df6a3a9ea6c14513b608a73c13215.png"/>
            <a:graphic xmlns:a="http://schemas.openxmlformats.org/drawingml/2006/main">
              <a:graphicData uri="http://schemas.openxmlformats.org/drawingml/2006/picture">
                <pic:pic xmlns:pic="http://schemas.openxmlformats.org/drawingml/2006/picture">
                  <pic:nvPicPr>
                    <pic:cNvPr id="0" name="Picture 14" descr="497df6a3a9ea6c14513b608a73c13215.png"/>
                    <pic:cNvPicPr>
                      <a:picLocks noChangeAspect="true"/>
                    </pic:cNvPicPr>
                  </pic:nvPicPr>
                  <pic:blipFill>
                    <a:blip r:embed="rId21"/>
                    <a:stretch>
                      <a:fillRect/>
                    </a:stretch>
                  </pic:blipFill>
                  <pic:spPr>
                    <a:xfrm flipH="false" flipV="false">
                      <a:off x="0" y="0"/>
                      <a:ext cx="2859375" cy="2485251"/>
                    </a:xfrm>
                    <a:prstGeom prst="rect">
                      <a:avLst/>
                    </a:prstGeom>
                  </pic:spPr>
                </pic:pic>
              </a:graphicData>
            </a:graphic>
          </wp:inline>
        </w:drawing>
      </w:r>
    </w:p>
    <w:p>
      <w:pPr>
        <w:spacing w:after="120" w:before="120" w:line="336" w:lineRule="auto"/>
        <w:ind w:firstLine="0" w:start="0"/>
        <w:jc w:val="center"/>
      </w:pPr>
      <w:r>
        <w:rPr>
          <w:rFonts w:ascii="Didact Gothic" w:hAnsi="Didact Gothic" w:cs="Didact Gothic" w:eastAsia="Didact Gothic"/>
          <w:color w:val="000000"/>
          <w:sz w:val="20"/>
          <w:szCs w:val="20"/>
        </w:rPr>
        <w:t>Image Description</w:t>
      </w: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 The inside of the accessible toilet. A toilet with a grey seat and white backrest is in the right corner of the room. Silver metal railings are along the wall parallel to the toilet, and adjacent to the toilet cistern. Below the railing adjacent to the cistern is a blue sanitary bin. A roll of toilet paper is on the wall next to the toilet, and a spare roll sits on the railing. The floor has dark grey tiles. A drain is on the floor. The walls are greyish. 
</w:t>
      </w:r>
    </w:p>
    <w:p>
      <w:pPr>
        <w:spacing w:after="120" w:before="120" w:line="336" w:lineRule="auto"/>
        <w:ind w:firstLine="0" w:start="0"/>
        <w:jc w:val="center"/>
      </w:pPr>
      <w:r>
        <w:rPr>
          <w:rFonts w:ascii="Jua" w:hAnsi="Jua" w:cs="Jua" w:eastAsia="Jua"/>
          <w:color w:val="000000"/>
          <w:sz w:val="84"/>
          <w:szCs w:val="84"/>
        </w:rPr>
        <w:t xml:space="preserve">THE ARCHIVE ROOM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The Archive Room is where Shitbag was performed during the first week. Hooray!
</w:t>
      </w:r>
    </w:p>
    <w:p>
      <w:pPr>
        <w:spacing w:after="120" w:before="120"/>
        <w:jc w:val="center"/>
      </w:pPr>
      <w:r>
        <w:drawing>
          <wp:inline distT="0" distR="0" distB="0" distL="0">
            <wp:extent cx="5300736" cy="3538678"/>
            <wp:docPr id="15" name="Drawing 15" descr="d9b8e473738a76d9e7588e41de3f2240.png"/>
            <a:graphic xmlns:a="http://schemas.openxmlformats.org/drawingml/2006/main">
              <a:graphicData uri="http://schemas.openxmlformats.org/drawingml/2006/picture">
                <pic:pic xmlns:pic="http://schemas.openxmlformats.org/drawingml/2006/picture">
                  <pic:nvPicPr>
                    <pic:cNvPr id="0" name="Picture 15" descr="d9b8e473738a76d9e7588e41de3f2240.png"/>
                    <pic:cNvPicPr>
                      <a:picLocks noChangeAspect="true"/>
                    </pic:cNvPicPr>
                  </pic:nvPicPr>
                  <pic:blipFill>
                    <a:blip r:embed="rId22"/>
                    <a:stretch>
                      <a:fillRect/>
                    </a:stretch>
                  </pic:blipFill>
                  <pic:spPr>
                    <a:xfrm flipH="false" flipV="false">
                      <a:off x="0" y="0"/>
                      <a:ext cx="5300736" cy="3538678"/>
                    </a:xfrm>
                    <a:prstGeom prst="rect">
                      <a:avLst/>
                    </a:prstGeom>
                  </pic:spPr>
                </pic:pic>
              </a:graphicData>
            </a:graphic>
          </wp:inline>
        </w:drawing>
      </w:r>
    </w:p>
    <w:p>
      <w:pPr>
        <w:spacing w:after="120" w:before="120" w:line="336" w:lineRule="auto"/>
        <w:ind w:firstLine="0" w:start="0"/>
        <w:jc w:val="center"/>
      </w:pPr>
      <w:r>
        <w:rPr>
          <w:rFonts w:ascii="Didact Gothic" w:hAnsi="Didact Gothic" w:cs="Didact Gothic" w:eastAsia="Didact Gothic"/>
          <w:color w:val="000000"/>
          <w:sz w:val="20"/>
          <w:szCs w:val="20"/>
        </w:rPr>
        <w:t xml:space="preserve"> </w:t>
      </w:r>
      <w:r>
        <w:rPr>
          <w:rFonts w:ascii="Didact Gothic" w:hAnsi="Didact Gothic" w:cs="Didact Gothic" w:eastAsia="Didact Gothic"/>
          <w:color w:val="000000"/>
          <w:sz w:val="20"/>
          <w:szCs w:val="20"/>
        </w:rPr>
        <w:t>Image Description</w:t>
      </w:r>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Three rows of seating fill a carpeted room in front of a raised stage. The first three rows are red velvet chairs, and a row of green plastic stools is just visible behind. A large black drape hangs from ceiling to floor creating a back and side stage area. There are some red lights on the stage. 
</w:t>
      </w:r>
    </w:p>
    <w:p>
      <w:pPr>
        <w:spacing w:after="120" w:before="120" w:line="336" w:lineRule="auto"/>
        <w:ind w:firstLine="0" w:start="0"/>
        <w:jc w:val="start"/>
      </w:pPr>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Jua" w:hAnsi="Jua" w:cs="Jua" w:eastAsia="Jua"/>
          <w:color w:val="000000"/>
          <w:sz w:val="72"/>
          <w:szCs w:val="72"/>
        </w:rPr>
        <w:t>Evatt Room (second week)</w:t>
      </w:r>
      <w:r>
        <w:rPr>
          <w:rFonts w:ascii="Didact Gothic" w:hAnsi="Didact Gothic" w:cs="Didact Gothic" w:eastAsia="Didact Gothic"/>
          <w:color w:val="000000"/>
          <w:sz w:val="20"/>
          <w:szCs w:val="20"/>
        </w:rPr>
        <w:t xml:space="preserve"> </w:t>
      </w:r>
      <w:r>
        <w:rPr>
          <w:rFonts w:ascii="Jua" w:hAnsi="Jua" w:cs="Jua" w:eastAsia="Jua"/>
          <w:color w:val="000000"/>
          <w:sz w:val="72"/>
          <w:szCs w:val="72"/>
        </w:rPr>
        <w:t xml:space="preserve">
</w:t>
      </w:r>
    </w:p>
    <w:p>
      <w:pPr>
        <w:spacing w:after="120" w:before="120" w:line="336" w:lineRule="auto"/>
        <w:ind w:firstLine="0" w:start="0"/>
        <w:jc w:val="center"/>
      </w:pPr>
      <w:r>
        <w:rPr>
          <w:rFonts w:ascii="Didact Gothic" w:hAnsi="Didact Gothic" w:cs="Didact Gothic" w:eastAsia="Didact Gothic"/>
          <w:color w:val="000000"/>
          <w:sz w:val="20"/>
          <w:szCs w:val="20"/>
        </w:rPr>
        <w:t>Image Description</w:t>
      </w:r>
      <w:r>
        <w:rPr>
          <w:rFonts w:ascii="Didact Gothic" w:hAnsi="Didact Gothic" w:cs="Didact Gothic" w:eastAsia="Didact Gothic"/>
          <w:color w:val="000000"/>
          <w:sz w:val="20"/>
          <w:szCs w:val="20"/>
        </w:rPr>
        <w:t xml:space="preserve"> </w:t>
        <w:br/>
      </w:r>
      <w:r>
        <w:rPr>
          <w:rFonts w:ascii="Didact Gothic" w:hAnsi="Didact Gothic" w:cs="Didact Gothic" w:eastAsia="Didact Gothic"/>
          <w:color w:val="000000"/>
          <w:sz w:val="20"/>
          <w:szCs w:val="20"/>
        </w:rPr>
        <w:t xml:space="preserve"> A small room with 6 rows of seats visible. A PA speaker sits either side of a low stage, a black curtain covers the wall behind the stage and a spotlight illuminates two microphones.
</w:t>
      </w:r>
    </w:p>
    <w:p>
      <w:pPr>
        <w:spacing w:after="120" w:before="120"/>
        <w:jc w:val="center"/>
      </w:pPr>
      <w:r>
        <w:drawing>
          <wp:inline distT="0" distR="0" distB="0" distL="0">
            <wp:extent cx="5720762" cy="3818608"/>
            <wp:docPr id="16" name="Drawing 16" descr="1092f1089c6f726dfae2310f299357d0.png"/>
            <a:graphic xmlns:a="http://schemas.openxmlformats.org/drawingml/2006/main">
              <a:graphicData uri="http://schemas.openxmlformats.org/drawingml/2006/picture">
                <pic:pic xmlns:pic="http://schemas.openxmlformats.org/drawingml/2006/picture">
                  <pic:nvPicPr>
                    <pic:cNvPr id="0" name="Picture 16" descr="1092f1089c6f726dfae2310f299357d0.png"/>
                    <pic:cNvPicPr>
                      <a:picLocks noChangeAspect="true"/>
                    </pic:cNvPicPr>
                  </pic:nvPicPr>
                  <pic:blipFill>
                    <a:blip r:embed="rId23"/>
                    <a:stretch>
                      <a:fillRect/>
                    </a:stretch>
                  </pic:blipFill>
                  <pic:spPr>
                    <a:xfrm flipH="false" flipV="false">
                      <a:off x="0" y="0"/>
                      <a:ext cx="5720762" cy="3818608"/>
                    </a:xfrm>
                    <a:prstGeom prst="rect">
                      <a:avLst/>
                    </a:prstGeom>
                  </pic:spPr>
                </pic:pic>
              </a:graphicData>
            </a:graphic>
          </wp:inline>
        </w:drawing>
      </w:r>
    </w:p>
    <w:p>
      <w:pPr>
        <w:spacing w:after="120" w:before="120" w:line="336" w:lineRule="auto"/>
        <w:ind w:firstLine="0" w:start="0"/>
        <w:jc w:val="center"/>
      </w:pPr>
      <w:r>
        <w:rPr>
          <w:rFonts w:ascii="Didact Gothic" w:hAnsi="Didact Gothic" w:cs="Didact Gothic" w:eastAsia="Didact Gothic"/>
          <w:color w:val="000000"/>
          <w:sz w:val="20"/>
          <w:szCs w:val="20"/>
        </w:rPr>
        <w:t xml:space="preserve">(THE EVATT ROOM IS SIMILAR but IT IS UPSTAIRS AND SEATS 40 INSTEAD OF 60).
</w:t>
      </w:r>
    </w:p>
    <w:p>
      <w:pPr>
        <w:spacing w:after="120" w:before="120" w:line="336" w:lineRule="auto"/>
        <w:ind w:firstLine="0" w:start="0"/>
        <w:jc w:val="start"/>
      </w:pPr>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Jua" w:hAnsi="Jua" w:cs="Jua" w:eastAsia="Jua"/>
          <w:color w:val="000000"/>
          <w:sz w:val="84"/>
          <w:szCs w:val="84"/>
        </w:rPr>
        <w:t>THE PERFORMER (ME)</w:t>
      </w:r>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This page should include everyone the audience is going to be seeing as part of the performance
</w:t>
      </w:r>
    </w:p>
    <w:tbl>
      <w:tblPr>
        <w:tblW w:w="9030" w:type="dxa"/>
        <w:tblBorders>
          <w:top w:val="single" w:color="dbdbdb" w:sz="12"/>
          <w:start w:color="dbdbdb" w:sz="12" w:val="single"/>
          <w:left w:val="single"/>
          <w:bottom w:val="single" w:color="dbdbdb" w:sz="12"/>
          <w:end w:color="dbdbdb" w:sz="12" w:val="single"/>
          <w:right w:val="single"/>
          <w:insideH w:val="single" w:color="dbdbdb" w:sz="12"/>
          <w:insideV w:val="single" w:color="dbdbdb" w:sz="12"/>
        </w:tblBorders>
      </w:tblPr>
      <w:tblGrid>
        <w:gridCol w:w="4515"/>
        <w:gridCol w:w="4515"/>
      </w:tblGrid>
      <w:tr>
        <w:tc>
          <w:tcPr>
            <w:tcW w:w="451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Hayley Edwards</w:t>
            </w:r>
            <w:r>
              <w:rPr>
                <w:rFonts w:ascii="Didact Gothic" w:hAnsi="Didact Gothic" w:cs="Didact Gothic" w:eastAsia="Didact Gothic"/>
                <w:color w:val="000000"/>
                <w:sz w:val="20"/>
                <w:szCs w:val="20"/>
              </w:rPr>
              <w:t xml:space="preserve">
</w:t>
            </w:r>
          </w:p>
        </w:tc>
        <w:tc>
          <w:tcPr>
            <w:tcW w:w="451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Shitbag</w:t>
            </w:r>
            <w:r>
              <w:rPr>
                <w:rFonts w:ascii="Didact Gothic" w:hAnsi="Didact Gothic" w:cs="Didact Gothic" w:eastAsia="Didact Gothic"/>
                <w:color w:val="000000"/>
                <w:sz w:val="20"/>
                <w:szCs w:val="20"/>
              </w:rPr>
              <w:t xml:space="preserve">
</w:t>
            </w:r>
          </w:p>
        </w:tc>
      </w:tr>
      <w:tr>
        <w:tc>
          <w:tcPr>
            <w:tcW w:w="4515" w:type="dxa"/>
            <w:tcMar>
              <w:top w:w="180"/>
              <w:start w:w="180"/>
              <w:bottom w:w="180"/>
              <w:end w:w="180"/>
            </w:tcMar>
          </w:tcPr>
          <w:p>
            <w:pPr>
              <w:spacing w:after="120" w:before="120"/>
              <w:jc w:val="center"/>
            </w:pPr>
            <w:r>
              <w:drawing>
                <wp:inline distT="0" distR="0" distB="0" distL="0">
                  <wp:extent cx="2369134" cy="3553701"/>
                  <wp:docPr id="18" name="Drawing 18" descr="38311428fd551137a15eba76f91ebf72.jpg"/>
                  <a:graphic xmlns:a="http://schemas.openxmlformats.org/drawingml/2006/main">
                    <a:graphicData uri="http://schemas.openxmlformats.org/drawingml/2006/picture">
                      <pic:pic xmlns:pic="http://schemas.openxmlformats.org/drawingml/2006/picture">
                        <pic:nvPicPr>
                          <pic:cNvPr id="0" name="Picture 18" descr="38311428fd551137a15eba76f91ebf72.jpg"/>
                          <pic:cNvPicPr>
                            <a:picLocks noChangeAspect="true"/>
                          </pic:cNvPicPr>
                        </pic:nvPicPr>
                        <pic:blipFill>
                          <a:blip r:embed="rId25"/>
                          <a:stretch>
                            <a:fillRect/>
                          </a:stretch>
                        </pic:blipFill>
                        <pic:spPr>
                          <a:xfrm flipH="false" flipV="false">
                            <a:off x="0" y="0"/>
                            <a:ext cx="2369134" cy="3553701"/>
                          </a:xfrm>
                          <a:prstGeom prst="rect">
                            <a:avLst/>
                          </a:prstGeom>
                        </pic:spPr>
                      </pic:pic>
                    </a:graphicData>
                  </a:graphic>
                </wp:inline>
              </w:drawing>
            </w:r>
          </w:p>
          <w:p>
            <w:pPr>
              <w:spacing w:after="120" w:before="120" w:line="336" w:lineRule="auto"/>
              <w:ind w:firstLine="0" w:start="0"/>
              <w:jc w:val="start"/>
            </w:pPr>
            <w:r>
              <w:rPr>
                <w:rFonts w:ascii="Didact Gothic" w:hAnsi="Didact Gothic" w:cs="Didact Gothic" w:eastAsia="Didact Gothic"/>
                <w:color w:val="000000"/>
                <w:sz w:val="20"/>
                <w:szCs w:val="20"/>
              </w:rPr>
              <w:t xml:space="preserve">
</w:t>
            </w:r>
          </w:p>
        </w:tc>
        <w:tc>
          <w:tcPr>
            <w:tcW w:w="4515" w:type="dxa"/>
            <w:tcMar>
              <w:top w:w="180"/>
              <w:start w:w="180"/>
              <w:bottom w:w="180"/>
              <w:end w:w="180"/>
            </w:tcMar>
          </w:tcPr>
          <w:p>
            <w:pPr>
              <w:spacing w:after="120" w:before="120"/>
              <w:jc w:val="center"/>
            </w:pPr>
            <w:r>
              <w:drawing>
                <wp:inline distT="0" distR="0" distB="0" distL="0">
                  <wp:extent cx="2381851" cy="3575010"/>
                  <wp:docPr id="17" name="Drawing 17" descr="78c846c987782fc50eddee623dadba6b.jpg"/>
                  <a:graphic xmlns:a="http://schemas.openxmlformats.org/drawingml/2006/main">
                    <a:graphicData uri="http://schemas.openxmlformats.org/drawingml/2006/picture">
                      <pic:pic xmlns:pic="http://schemas.openxmlformats.org/drawingml/2006/picture">
                        <pic:nvPicPr>
                          <pic:cNvPr id="0" name="Picture 17" descr="78c846c987782fc50eddee623dadba6b.jpg"/>
                          <pic:cNvPicPr>
                            <a:picLocks noChangeAspect="true"/>
                          </pic:cNvPicPr>
                        </pic:nvPicPr>
                        <pic:blipFill>
                          <a:blip r:embed="rId24"/>
                          <a:srcRect l="0" t="0" r="0" b="0"/>
                          <a:stretch>
                            <a:fillRect/>
                          </a:stretch>
                        </pic:blipFill>
                        <pic:spPr>
                          <a:xfrm flipH="false" flipV="false">
                            <a:off x="0" y="0"/>
                            <a:ext cx="2381851" cy="3575010"/>
                          </a:xfrm>
                          <a:prstGeom prst="rect">
                            <a:avLst/>
                          </a:prstGeom>
                        </pic:spPr>
                      </pic:pic>
                    </a:graphicData>
                  </a:graphic>
                </wp:inline>
              </w:drawing>
            </w:r>
          </w:p>
          <w:p>
            <w:pPr>
              <w:spacing w:after="120" w:before="120" w:line="336" w:lineRule="auto"/>
              <w:ind w:firstLine="0" w:start="0"/>
              <w:jc w:val="start"/>
            </w:pPr>
            <w:r>
              <w:rPr>
                <w:rFonts w:ascii="Didact Gothic" w:hAnsi="Didact Gothic" w:cs="Didact Gothic" w:eastAsia="Didact Gothic"/>
                <w:color w:val="000000"/>
                <w:sz w:val="20"/>
                <w:szCs w:val="20"/>
              </w:rPr>
              <w:t xml:space="preserve">
</w:t>
            </w:r>
          </w:p>
        </w:tc>
      </w:tr>
      <w:tr>
        <w:tc>
          <w:tcPr>
            <w:tcW w:w="451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Image Description: Hayley is a 25 year old non-binary person born female. They have brown/ginger hair that is cut short. In this photo they are smiling with their lips together and holding their wrists with one hand. They are wearing a funky multi-coloured shirt and there is a dark grey background.
</w:t>
            </w:r>
          </w:p>
        </w:tc>
        <w:tc>
          <w:tcPr>
            <w:tcW w:w="4515" w:type="dxa"/>
            <w:tcMar>
              <w:top w:w="180"/>
              <w:start w:w="180"/>
              <w:bottom w:w="180"/>
              <w:end w:w="180"/>
            </w:tcMar>
          </w:tcPr>
          <w:p>
            <w:pPr>
              <w:spacing w:after="120" w:before="120" w:line="326" w:lineRule="auto"/>
              <w:ind w:firstLine="0" w:start="0"/>
              <w:jc w:val="center"/>
            </w:pPr>
            <w:r>
              <w:rPr>
                <w:rFonts w:ascii="Didact Gothic" w:hAnsi="Didact Gothic" w:cs="Didact Gothic" w:eastAsia="Didact Gothic"/>
                <w:color w:val="000000"/>
                <w:sz w:val="20"/>
                <w:szCs w:val="20"/>
              </w:rPr>
              <w:t>Image Description: Shitbag is the character that Hayley will be playing throughout the show. It is a version of their previous self, but also a character. In this photo Shitbag wears a hospital gown and sits on an accessible toilet seat while holding a toilet roll. The background is purple and they are smiling with their mouth shut.</w:t>
            </w:r>
            <w:r>
              <w:rPr>
                <w:rFonts w:ascii="Didact Gothic" w:hAnsi="Didact Gothic" w:cs="Didact Gothic" w:eastAsia="Didact Gothic"/>
                <w:color w:val="000000"/>
                <w:sz w:val="20"/>
                <w:szCs w:val="20"/>
              </w:rPr>
              <w:t xml:space="preserve">
</w:t>
            </w:r>
          </w:p>
        </w:tc>
      </w:tr>
      <w:tr>
        <w:tc>
          <w:tcPr>
            <w:tcW w:w="451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Hayley is really excited to share the show with you all and is super happy to chat about any of the material with you. Their instagram handle is @hayley.jemma and the instagram page for this show is @shitbag.the.play</w:t>
            </w:r>
            <w:r>
              <w:rPr>
                <w:rFonts w:ascii="Didact Gothic" w:hAnsi="Didact Gothic" w:cs="Didact Gothic" w:eastAsia="Didact Gothic"/>
                <w:color w:val="000000"/>
                <w:sz w:val="20"/>
                <w:szCs w:val="20"/>
              </w:rPr>
              <w:t xml:space="preserve">
</w:t>
            </w:r>
          </w:p>
        </w:tc>
        <w:tc>
          <w:tcPr>
            <w:tcW w:w="451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Shitbag as a character is a very heightened version of Hayley. In this play they experience big things such as a hospitalisation and diagnosis of Crohn’s disease after a big break-up. They get medicated in hospital and then experience a hypo-manic episode which then leads them to be hyper-sexual and have many sexual encounters, some of which are abusive or ‘grey area’. They also experiment with their gender and queerness, alcohol and drugs.
</w:t>
            </w:r>
          </w:p>
        </w:tc>
      </w:tr>
    </w:tbl>
    <w:p>
      <w:pPr>
        <w:spacing w:after="120" w:before="120" w:line="336" w:lineRule="auto"/>
        <w:ind w:firstLine="0" w:start="0"/>
        <w:jc w:val="center"/>
      </w:pPr>
      <w:r>
        <w:rPr>
          <w:rFonts w:ascii="Jua" w:hAnsi="Jua" w:cs="Jua" w:eastAsia="Jua"/>
          <w:color w:val="000000"/>
          <w:sz w:val="64"/>
          <w:szCs w:val="64"/>
        </w:rPr>
        <w:t>IN-DEPTH CONTENT ADVICE</w:t>
      </w:r>
      <w:r>
        <w:rPr>
          <w:rFonts w:ascii="Didact Gothic" w:hAnsi="Didact Gothic" w:cs="Didact Gothic" w:eastAsia="Didact Gothic"/>
          <w:color w:val="000000"/>
          <w:sz w:val="64"/>
          <w:szCs w:val="64"/>
        </w:rPr>
        <w:t xml:space="preserve">
</w:t>
      </w:r>
    </w:p>
    <w:tbl>
      <w:tblPr>
        <w:tblW w:w="9030" w:type="dxa"/>
        <w:tblBorders>
          <w:top w:val="single" w:color="dbdbdb" w:sz="12"/>
          <w:start w:color="dbdbdb" w:sz="12" w:val="single"/>
          <w:left w:val="single"/>
          <w:bottom w:val="single" w:color="dbdbdb" w:sz="12"/>
          <w:end w:color="dbdbdb" w:sz="12" w:val="single"/>
          <w:right w:val="single"/>
          <w:insideH w:val="single" w:color="dbdbdb" w:sz="12"/>
          <w:insideV w:val="single" w:color="dbdbdb" w:sz="12"/>
        </w:tblBorders>
      </w:tblPr>
      <w:tblGrid>
        <w:gridCol w:w="1484"/>
        <w:gridCol w:w="7545"/>
      </w:tblGrid>
      <w:tr>
        <w:tc>
          <w:tcPr>
            <w:tcW w:w="1484"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Technical Advice
</w:t>
            </w:r>
          </w:p>
        </w:tc>
        <w:tc>
          <w:tcPr>
            <w:tcW w:w="754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Technical effect Description
</w:t>
            </w:r>
          </w:p>
        </w:tc>
      </w:tr>
      <w:tr>
        <w:tc>
          <w:tcPr>
            <w:tcW w:w="1484" w:type="dxa"/>
            <w:tcMar>
              <w:top w:w="180"/>
              <w:start w:w="180"/>
              <w:bottom w:w="180"/>
              <w:end w:w="180"/>
            </w:tcMar>
          </w:tcPr>
          <w:p>
            <w:pPr>
              <w:spacing w:after="120" w:before="120" w:line="336" w:lineRule="auto"/>
              <w:ind w:firstLine="0" w:start="0"/>
              <w:jc w:val="start"/>
            </w:pPr>
            <w:r>
              <w:rPr>
                <w:rFonts w:ascii="Didact Gothic" w:hAnsi="Didact Gothic" w:cs="Didact Gothic" w:eastAsia="Didact Gothic"/>
                <w:color w:val="000000"/>
                <w:sz w:val="20"/>
                <w:szCs w:val="20"/>
              </w:rPr>
              <w:t xml:space="preserve">
</w:t>
            </w:r>
          </w:p>
        </w:tc>
        <w:tc>
          <w:tcPr>
            <w:tcW w:w="754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This work is being designed as we speak, so Hayley is unsure of the specifics of every technical sound/lighting que, though in the relaxed performance, this work will be adjusted so that any loud and/or sudden sounds are adjusted to a less intense level.
</w:t>
            </w:r>
          </w:p>
          <w:p>
            <w:pPr>
              <w:spacing w:after="120" w:before="120" w:line="336" w:lineRule="auto"/>
              <w:ind w:firstLine="0" w:start="0"/>
              <w:jc w:val="center"/>
            </w:pPr>
            <w:r>
              <w:rPr>
                <w:rFonts w:ascii="Didact Gothic" w:hAnsi="Didact Gothic" w:cs="Didact Gothic" w:eastAsia="Didact Gothic"/>
                <w:color w:val="000000"/>
                <w:sz w:val="20"/>
                <w:szCs w:val="20"/>
              </w:rPr>
              <w:t>TBC.</w:t>
            </w:r>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Didact Gothic" w:hAnsi="Didact Gothic" w:cs="Didact Gothic" w:eastAsia="Didact Gothic"/>
                <w:color w:val="000000"/>
                <w:sz w:val="20"/>
                <w:szCs w:val="20"/>
              </w:rPr>
              <w:t xml:space="preserve">Contact @hayley.jemma if needed.
</w:t>
            </w:r>
          </w:p>
        </w:tc>
      </w:tr>
      <w:tr>
        <w:tc>
          <w:tcPr>
            <w:tcW w:w="1484"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Fake Blood</w:t>
            </w:r>
            <w:r>
              <w:rPr>
                <w:rFonts w:ascii="Didact Gothic" w:hAnsi="Didact Gothic" w:cs="Didact Gothic" w:eastAsia="Didact Gothic"/>
                <w:color w:val="000000"/>
                <w:sz w:val="20"/>
                <w:szCs w:val="20"/>
              </w:rPr>
              <w:t xml:space="preserve">
</w:t>
            </w:r>
          </w:p>
        </w:tc>
        <w:tc>
          <w:tcPr>
            <w:tcW w:w="754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Fake Blood is used to show the blood clots that Shitbag experiences. This is made from kid’s slime that Hayley found at KMART and mixed together. 
</w:t>
            </w:r>
          </w:p>
          <w:p>
            <w:pPr>
              <w:spacing w:after="120" w:before="120" w:line="336" w:lineRule="auto"/>
              <w:ind w:firstLine="0" w:start="0"/>
              <w:jc w:val="center"/>
            </w:pPr>
            <w:r>
              <w:rPr>
                <w:rFonts w:ascii="Didact Gothic" w:hAnsi="Didact Gothic" w:cs="Didact Gothic" w:eastAsia="Didact Gothic"/>
                <w:color w:val="000000"/>
                <w:sz w:val="20"/>
                <w:szCs w:val="20"/>
              </w:rPr>
              <w:t xml:space="preserve">It is a large 2 handful size blob that indicates the blood clots in the show. It is a red/brown colour and has some glitter left in it from the kid’s KMART section.
</w:t>
            </w:r>
          </w:p>
        </w:tc>
      </w:tr>
      <w:tr>
        <w:tc>
          <w:tcPr>
            <w:tcW w:w="1484"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Simulated Drug Use</w:t>
            </w:r>
            <w:r>
              <w:rPr>
                <w:rFonts w:ascii="Didact Gothic" w:hAnsi="Didact Gothic" w:cs="Didact Gothic" w:eastAsia="Didact Gothic"/>
                <w:color w:val="000000"/>
                <w:sz w:val="20"/>
                <w:szCs w:val="20"/>
              </w:rPr>
              <w:t xml:space="preserve">
</w:t>
            </w:r>
          </w:p>
        </w:tc>
        <w:tc>
          <w:tcPr>
            <w:tcW w:w="754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Hayley may simulate drug use of the following drugs. These drugs are also mentioned by name.</w:t>
            </w:r>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Didact Gothic" w:hAnsi="Didact Gothic" w:cs="Didact Gothic" w:eastAsia="Didact Gothic"/>
                <w:color w:val="000000"/>
                <w:sz w:val="20"/>
                <w:szCs w:val="20"/>
              </w:rPr>
              <w:t xml:space="preserve">Ketamine, MDMA, Cannabis, Cocaine, Dexamphetamines and Amyl Nitrate.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These things will be nothing, maybe a small plastic bag that is empty and the simulated action will be sniffing or ingesting.
</w:t>
            </w:r>
          </w:p>
        </w:tc>
      </w:tr>
      <w:tr>
        <w:tc>
          <w:tcPr>
            <w:tcW w:w="1484"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Simulated Consuming Alcohol
</w:t>
            </w:r>
          </w:p>
        </w:tc>
        <w:tc>
          <w:tcPr>
            <w:tcW w:w="754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There may be simulated drinking, which will be a clear liquid/water in a wine glass.
</w:t>
            </w:r>
          </w:p>
        </w:tc>
      </w:tr>
      <w:tr>
        <w:tc>
          <w:tcPr>
            <w:tcW w:w="1484"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Other props/costumes to be aware of
</w:t>
            </w:r>
          </w:p>
        </w:tc>
        <w:tc>
          <w:tcPr>
            <w:tcW w:w="754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The performer </w:t>
            </w:r>
            <w:r>
              <w:rPr>
                <w:rFonts w:ascii="Didact Gothic" w:hAnsi="Didact Gothic" w:cs="Didact Gothic" w:eastAsia="Didact Gothic"/>
                <w:color w:val="000000"/>
                <w:sz w:val="20"/>
                <w:szCs w:val="20"/>
              </w:rPr>
              <w:t xml:space="preserve">will be using an accessible toilet seat, holding a dildo, eating white bread.
</w:t>
            </w:r>
          </w:p>
          <w:p>
            <w:pPr>
              <w:spacing w:after="120" w:before="120" w:line="336" w:lineRule="auto"/>
              <w:ind w:firstLine="0" w:start="0"/>
              <w:jc w:val="center"/>
            </w:pPr>
            <w:r>
              <w:rPr>
                <w:rFonts w:ascii="Didact Gothic" w:hAnsi="Didact Gothic" w:cs="Didact Gothic" w:eastAsia="Didact Gothic"/>
                <w:color w:val="000000"/>
                <w:sz w:val="20"/>
                <w:szCs w:val="20"/>
              </w:rPr>
              <w:t xml:space="preserve">Hayley will be dressed in a hospital gown for some of the show and dressing/undressing in some sections/wearing underwear.
</w:t>
            </w:r>
          </w:p>
        </w:tc>
      </w:tr>
      <w:tr>
        <w:tc>
          <w:tcPr>
            <w:tcW w:w="1484"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Nudity
</w:t>
            </w:r>
          </w:p>
        </w:tc>
        <w:tc>
          <w:tcPr>
            <w:tcW w:w="754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The performer will be dressing/undressing during the show and mild/moderate nudity will be used.</w:t>
            </w:r>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There is no full-frontal nudity.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There are also some scenes where they where they simulate sex/sexual behaviours, as well as mild medical procedures such as getting an injection and an anal exam.
</w:t>
            </w:r>
          </w:p>
        </w:tc>
      </w:tr>
      <w:tr>
        <w:tc>
          <w:tcPr>
            <w:tcW w:w="1484" w:type="dxa"/>
            <w:tcMar>
              <w:top w:w="180"/>
              <w:start w:w="180"/>
              <w:bottom w:w="180"/>
              <w:end w:w="180"/>
            </w:tcMar>
          </w:tcPr>
          <w:p>
            <w:pPr>
              <w:spacing w:after="120" w:before="120" w:line="336" w:lineRule="auto"/>
              <w:ind w:firstLine="0" w:start="0"/>
              <w:jc w:val="start"/>
            </w:pPr>
            <w:r>
              <w:rPr>
                <w:rFonts w:ascii="Didact Gothic" w:hAnsi="Didact Gothic" w:cs="Didact Gothic" w:eastAsia="Didact Gothic"/>
                <w:color w:val="000000"/>
                <w:sz w:val="20"/>
                <w:szCs w:val="20"/>
              </w:rPr>
              <w:t xml:space="preserve">
</w:t>
            </w:r>
          </w:p>
        </w:tc>
        <w:tc>
          <w:tcPr>
            <w:tcW w:w="754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Specific content warnings (mostly verbally described/mentioned)</w:t>
            </w:r>
            <w:r>
              <w:rPr>
                <w:rFonts w:ascii="Didact Gothic" w:hAnsi="Didact Gothic" w:cs="Didact Gothic" w:eastAsia="Didact Gothic"/>
                <w:color w:val="000000"/>
                <w:sz w:val="20"/>
                <w:szCs w:val="20"/>
              </w:rPr>
              <w:t xml:space="preserve">
</w:t>
            </w:r>
          </w:p>
        </w:tc>
      </w:tr>
      <w:tr>
        <w:tc>
          <w:tcPr>
            <w:tcW w:w="1484"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Sex, Sexual Assault and Misogyny</w:t>
            </w:r>
            <w:r>
              <w:rPr>
                <w:rFonts w:ascii="Didact Gothic" w:hAnsi="Didact Gothic" w:cs="Didact Gothic" w:eastAsia="Didact Gothic"/>
                <w:color w:val="000000"/>
                <w:sz w:val="20"/>
                <w:szCs w:val="20"/>
              </w:rPr>
              <w:t xml:space="preserve">
</w:t>
            </w:r>
          </w:p>
        </w:tc>
        <w:tc>
          <w:tcPr>
            <w:tcW w:w="754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This show describes a lot of sexual encounters, some of which are sexual assault/abuse/rape.</w:t>
            </w:r>
            <w:r>
              <w:rPr>
                <w:rFonts w:ascii="Didact Gothic" w:hAnsi="Didact Gothic" w:cs="Didact Gothic" w:eastAsia="Didact Gothic"/>
                <w:color w:val="000000"/>
                <w:sz w:val="20"/>
                <w:szCs w:val="20"/>
              </w:rPr>
              <w:t xml:space="preserve">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Things that are said/described include:
</w:t>
            </w:r>
          </w:p>
          <w:p>
            <w:pPr>
              <w:spacing w:after="120" w:before="120" w:line="336" w:lineRule="auto"/>
              <w:ind w:firstLine="0" w:start="0"/>
              <w:jc w:val="center"/>
            </w:pPr>
            <w:r>
              <w:rPr>
                <w:rFonts w:ascii="Didact Gothic" w:hAnsi="Didact Gothic" w:cs="Didact Gothic" w:eastAsia="Didact Gothic"/>
                <w:color w:val="000000"/>
                <w:sz w:val="20"/>
                <w:szCs w:val="20"/>
              </w:rPr>
              <w:t xml:space="preserve">A threesome with an older couple where one tries to film it without the character’s consent
</w:t>
            </w:r>
          </w:p>
          <w:p>
            <w:pPr>
              <w:spacing w:after="120" w:before="120" w:line="336" w:lineRule="auto"/>
              <w:ind w:firstLine="0" w:start="0"/>
              <w:jc w:val="center"/>
            </w:pPr>
            <w:r>
              <w:rPr>
                <w:rFonts w:ascii="Didact Gothic" w:hAnsi="Didact Gothic" w:cs="Didact Gothic" w:eastAsia="Didact Gothic"/>
                <w:color w:val="000000"/>
                <w:sz w:val="20"/>
                <w:szCs w:val="20"/>
              </w:rPr>
              <w:t xml:space="preserve">A sexual partner who offers the character money
</w:t>
            </w:r>
          </w:p>
          <w:p>
            <w:pPr>
              <w:spacing w:after="120" w:before="120" w:line="336" w:lineRule="auto"/>
              <w:ind w:firstLine="0" w:start="0"/>
              <w:jc w:val="center"/>
            </w:pPr>
            <w:r>
              <w:rPr>
                <w:rFonts w:ascii="Didact Gothic" w:hAnsi="Didact Gothic" w:cs="Didact Gothic" w:eastAsia="Didact Gothic"/>
                <w:color w:val="000000"/>
                <w:sz w:val="20"/>
                <w:szCs w:val="20"/>
              </w:rPr>
              <w:t xml:space="preserve">A drug dealer having sex with the protagonist that is consensual
</w:t>
            </w:r>
          </w:p>
          <w:p>
            <w:pPr>
              <w:spacing w:after="120" w:before="120" w:line="336" w:lineRule="auto"/>
              <w:ind w:firstLine="0" w:start="0"/>
              <w:jc w:val="center"/>
            </w:pPr>
            <w:r>
              <w:rPr>
                <w:rFonts w:ascii="Didact Gothic" w:hAnsi="Didact Gothic" w:cs="Didact Gothic" w:eastAsia="Didact Gothic"/>
                <w:color w:val="000000"/>
                <w:sz w:val="20"/>
                <w:szCs w:val="20"/>
              </w:rPr>
              <w:t xml:space="preserve">A consensual fantasy the character has about a female nurse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The protagonist describing attraction to a doctor/their specialist
</w:t>
            </w:r>
          </w:p>
          <w:p>
            <w:pPr>
              <w:spacing w:after="120" w:before="120" w:line="336" w:lineRule="auto"/>
              <w:ind w:firstLine="0" w:start="0"/>
              <w:jc w:val="center"/>
            </w:pPr>
            <w:r>
              <w:rPr>
                <w:rFonts w:ascii="Didact Gothic" w:hAnsi="Didact Gothic" w:cs="Didact Gothic" w:eastAsia="Didact Gothic"/>
                <w:color w:val="000000"/>
                <w:sz w:val="20"/>
                <w:szCs w:val="20"/>
              </w:rPr>
              <w:t xml:space="preserve">Sex with a man who then tells them that he had ‘accusations of sexual assault against him’ at university.
</w:t>
            </w:r>
          </w:p>
          <w:p>
            <w:pPr>
              <w:spacing w:after="120" w:before="120" w:line="336" w:lineRule="auto"/>
              <w:ind w:firstLine="0" w:start="0"/>
              <w:jc w:val="center"/>
            </w:pPr>
            <w:r>
              <w:rPr>
                <w:rFonts w:ascii="Didact Gothic" w:hAnsi="Didact Gothic" w:cs="Didact Gothic" w:eastAsia="Didact Gothic"/>
                <w:color w:val="000000"/>
                <w:sz w:val="20"/>
                <w:szCs w:val="20"/>
              </w:rPr>
              <w:t xml:space="preserve">A man who wants and tries to have unprotected sex.
</w:t>
            </w:r>
          </w:p>
          <w:p>
            <w:pPr>
              <w:spacing w:after="120" w:before="120" w:line="336" w:lineRule="auto"/>
              <w:ind w:firstLine="0" w:start="0"/>
              <w:jc w:val="center"/>
            </w:pPr>
            <w:r>
              <w:rPr>
                <w:rFonts w:ascii="Didact Gothic" w:hAnsi="Didact Gothic" w:cs="Didact Gothic" w:eastAsia="Didact Gothic"/>
                <w:color w:val="000000"/>
                <w:sz w:val="20"/>
                <w:szCs w:val="20"/>
              </w:rPr>
              <w:t xml:space="preserve">Strap ons and pegging are briefly mentioned.
</w:t>
            </w:r>
          </w:p>
          <w:p>
            <w:pPr>
              <w:spacing w:after="120" w:before="120" w:line="336" w:lineRule="auto"/>
              <w:ind w:firstLine="0" w:start="0"/>
              <w:jc w:val="center"/>
            </w:pPr>
            <w:r>
              <w:rPr>
                <w:rFonts w:ascii="Didact Gothic" w:hAnsi="Didact Gothic" w:cs="Didact Gothic" w:eastAsia="Didact Gothic"/>
                <w:color w:val="000000"/>
                <w:sz w:val="20"/>
                <w:szCs w:val="20"/>
              </w:rPr>
              <w:t xml:space="preserve"> A sexual partner who dismisses abortions as ‘easy’.
</w:t>
            </w:r>
          </w:p>
          <w:p>
            <w:pPr>
              <w:spacing w:after="120" w:before="120" w:line="336" w:lineRule="auto"/>
              <w:ind w:firstLine="0" w:start="0"/>
              <w:jc w:val="center"/>
            </w:pPr>
            <w:r>
              <w:rPr>
                <w:rFonts w:ascii="Didact Gothic" w:hAnsi="Didact Gothic" w:cs="Didact Gothic" w:eastAsia="Didact Gothic"/>
                <w:color w:val="000000"/>
                <w:sz w:val="20"/>
                <w:szCs w:val="20"/>
              </w:rPr>
              <w:t xml:space="preserve">Description of a sex party where a five some is had (consensually).
</w:t>
            </w:r>
          </w:p>
          <w:p>
            <w:pPr>
              <w:spacing w:after="120" w:before="120" w:line="336" w:lineRule="auto"/>
              <w:ind w:firstLine="0" w:start="0"/>
              <w:jc w:val="center"/>
            </w:pPr>
            <w:r>
              <w:rPr>
                <w:rFonts w:ascii="Didact Gothic" w:hAnsi="Didact Gothic" w:cs="Didact Gothic" w:eastAsia="Didact Gothic"/>
                <w:color w:val="000000"/>
                <w:sz w:val="20"/>
                <w:szCs w:val="20"/>
              </w:rPr>
              <w:t xml:space="preserve">Consensual sex with a woman that becomes unconcensual.
</w:t>
            </w:r>
          </w:p>
          <w:p>
            <w:pPr>
              <w:spacing w:after="120" w:before="120" w:line="336" w:lineRule="auto"/>
              <w:ind w:firstLine="0" w:start="0"/>
              <w:jc w:val="center"/>
            </w:pPr>
            <w:r>
              <w:rPr>
                <w:rFonts w:ascii="Didact Gothic" w:hAnsi="Didact Gothic" w:cs="Didact Gothic" w:eastAsia="Didact Gothic"/>
                <w:color w:val="000000"/>
                <w:sz w:val="20"/>
                <w:szCs w:val="20"/>
              </w:rPr>
              <w:t xml:space="preserve">Briefly mentioning a ‘first kiss’ that was ‘given away at 12’ meaning not consensual.
</w:t>
            </w:r>
          </w:p>
        </w:tc>
      </w:tr>
      <w:tr>
        <w:tc>
          <w:tcPr>
            <w:tcW w:w="1484"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Hospitalisations, needles, diagnosis, cancer, euthanasia and medical trauma
</w:t>
            </w:r>
          </w:p>
        </w:tc>
        <w:tc>
          <w:tcPr>
            <w:tcW w:w="754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This play is about Hayley’s diagnosis of Crohn’s Disease.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There is description/portrayal of:
</w:t>
            </w:r>
          </w:p>
          <w:p>
            <w:pPr>
              <w:spacing w:after="120" w:before="120" w:line="336" w:lineRule="auto"/>
              <w:ind w:firstLine="0" w:start="0"/>
              <w:jc w:val="center"/>
            </w:pPr>
            <w:r>
              <w:rPr>
                <w:rFonts w:ascii="Didact Gothic" w:hAnsi="Didact Gothic" w:cs="Didact Gothic" w:eastAsia="Didact Gothic"/>
                <w:color w:val="000000"/>
                <w:sz w:val="20"/>
                <w:szCs w:val="20"/>
              </w:rPr>
              <w:t xml:space="preserve">An accessible toilet and a hospital gown
</w:t>
            </w:r>
          </w:p>
          <w:p>
            <w:pPr>
              <w:spacing w:after="120" w:before="120" w:line="336" w:lineRule="auto"/>
              <w:ind w:firstLine="0" w:start="0"/>
              <w:jc w:val="center"/>
            </w:pPr>
            <w:r>
              <w:rPr>
                <w:rFonts w:ascii="Didact Gothic" w:hAnsi="Didact Gothic" w:cs="Didact Gothic" w:eastAsia="Didact Gothic"/>
                <w:color w:val="000000"/>
                <w:sz w:val="20"/>
                <w:szCs w:val="20"/>
              </w:rPr>
              <w:t xml:space="preserve">Crohn’s symptoms: diarrhoea, pain, bleeding (see: fake blood)
</w:t>
            </w:r>
          </w:p>
          <w:p>
            <w:pPr>
              <w:spacing w:after="120" w:before="120" w:line="336" w:lineRule="auto"/>
              <w:ind w:firstLine="0" w:start="0"/>
              <w:jc w:val="center"/>
            </w:pPr>
            <w:r>
              <w:rPr>
                <w:rFonts w:ascii="Didact Gothic" w:hAnsi="Didact Gothic" w:cs="Didact Gothic" w:eastAsia="Didact Gothic"/>
                <w:color w:val="000000"/>
                <w:sz w:val="20"/>
                <w:szCs w:val="20"/>
              </w:rPr>
              <w:t xml:space="preserve">Hospitalisation: Emergency department and gastronterology ward, nurses, doctors and student nurses
</w:t>
            </w:r>
          </w:p>
          <w:p>
            <w:pPr>
              <w:spacing w:after="120" w:before="120" w:line="336" w:lineRule="auto"/>
              <w:ind w:firstLine="0" w:start="0"/>
              <w:jc w:val="center"/>
            </w:pPr>
            <w:r>
              <w:rPr>
                <w:rFonts w:ascii="Didact Gothic" w:hAnsi="Didact Gothic" w:cs="Didact Gothic" w:eastAsia="Didact Gothic"/>
                <w:color w:val="000000"/>
                <w:sz w:val="20"/>
                <w:szCs w:val="20"/>
              </w:rPr>
              <w:t xml:space="preserve">Medical procedures: colonoscopy and gastroscopy (spoken about only)
</w:t>
            </w:r>
          </w:p>
          <w:p>
            <w:pPr>
              <w:spacing w:after="120" w:before="120" w:line="336" w:lineRule="auto"/>
              <w:ind w:firstLine="0" w:start="0"/>
              <w:jc w:val="center"/>
            </w:pPr>
            <w:r>
              <w:rPr>
                <w:rFonts w:ascii="Didact Gothic" w:hAnsi="Didact Gothic" w:cs="Didact Gothic" w:eastAsia="Didact Gothic"/>
                <w:color w:val="000000"/>
                <w:sz w:val="20"/>
                <w:szCs w:val="20"/>
              </w:rPr>
              <w:t xml:space="preserve">Medical trauma: allusions to mental illness that has led to hospitalisations before
</w:t>
            </w:r>
          </w:p>
          <w:p>
            <w:pPr>
              <w:spacing w:after="120" w:before="120" w:line="336" w:lineRule="auto"/>
              <w:ind w:firstLine="0" w:start="0"/>
              <w:jc w:val="center"/>
            </w:pPr>
            <w:r>
              <w:rPr>
                <w:rFonts w:ascii="Didact Gothic" w:hAnsi="Didact Gothic" w:cs="Didact Gothic" w:eastAsia="Didact Gothic"/>
                <w:color w:val="000000"/>
                <w:sz w:val="20"/>
                <w:szCs w:val="20"/>
              </w:rPr>
              <w:t xml:space="preserve">Medical Abuse: a doctor performing an anal exam without proper warning (described and acted out).
</w:t>
            </w:r>
          </w:p>
          <w:p>
            <w:pPr>
              <w:spacing w:after="120" w:before="120" w:line="336" w:lineRule="auto"/>
              <w:ind w:firstLine="0" w:start="0"/>
              <w:jc w:val="center"/>
            </w:pPr>
            <w:r>
              <w:rPr>
                <w:rFonts w:ascii="Didact Gothic" w:hAnsi="Didact Gothic" w:cs="Didact Gothic" w:eastAsia="Didact Gothic"/>
                <w:color w:val="000000"/>
                <w:sz w:val="20"/>
                <w:szCs w:val="20"/>
              </w:rPr>
              <w:t xml:space="preserve">Describing only: blood tests, sounds of a hospital, people visiting, describing a hospital room and vomiting (not heard).
</w:t>
            </w:r>
          </w:p>
          <w:p>
            <w:pPr>
              <w:spacing w:after="120" w:before="120" w:line="336" w:lineRule="auto"/>
              <w:ind w:firstLine="0" w:start="0"/>
              <w:jc w:val="center"/>
            </w:pPr>
            <w:r>
              <w:rPr>
                <w:rFonts w:ascii="Didact Gothic" w:hAnsi="Didact Gothic" w:cs="Didact Gothic" w:eastAsia="Didact Gothic"/>
                <w:color w:val="000000"/>
                <w:sz w:val="20"/>
                <w:szCs w:val="20"/>
              </w:rPr>
              <w:t xml:space="preserve">Cancer: a conversation between a young doctor and an old man about his colorectal cancer diagnosis is described as being overheard.
</w:t>
            </w:r>
          </w:p>
          <w:p>
            <w:pPr>
              <w:spacing w:after="120" w:before="120" w:line="336" w:lineRule="auto"/>
              <w:ind w:firstLine="0" w:start="0"/>
              <w:jc w:val="center"/>
            </w:pPr>
            <w:r>
              <w:rPr>
                <w:rFonts w:ascii="Didact Gothic" w:hAnsi="Didact Gothic" w:cs="Didact Gothic" w:eastAsia="Didact Gothic"/>
                <w:color w:val="000000"/>
                <w:sz w:val="20"/>
                <w:szCs w:val="20"/>
              </w:rPr>
              <w:t xml:space="preserve">Euthanasia: The old man (see above) asks the doctor for no further treatment (described overheard conversation).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The description of what a stoma bag is (not shown).
</w:t>
            </w:r>
          </w:p>
          <w:p>
            <w:pPr>
              <w:spacing w:after="120" w:before="120" w:line="336" w:lineRule="auto"/>
              <w:ind w:firstLine="0" w:start="0"/>
              <w:jc w:val="center"/>
            </w:pPr>
            <w:r>
              <w:rPr>
                <w:rFonts w:ascii="Didact Gothic" w:hAnsi="Didact Gothic" w:cs="Didact Gothic" w:eastAsia="Didact Gothic"/>
                <w:color w:val="000000"/>
                <w:sz w:val="20"/>
                <w:szCs w:val="20"/>
              </w:rPr>
              <w:t xml:space="preserve">A print out of a colonoscopy (shown but not very visible from far away).
</w:t>
            </w:r>
          </w:p>
          <w:p>
            <w:pPr>
              <w:spacing w:after="120" w:before="120" w:line="336" w:lineRule="auto"/>
              <w:ind w:firstLine="0" w:start="0"/>
              <w:jc w:val="center"/>
            </w:pPr>
            <w:r>
              <w:rPr>
                <w:rFonts w:ascii="Didact Gothic" w:hAnsi="Didact Gothic" w:cs="Didact Gothic" w:eastAsia="Didact Gothic"/>
                <w:color w:val="000000"/>
                <w:sz w:val="20"/>
                <w:szCs w:val="20"/>
              </w:rPr>
              <w:t xml:space="preserve">Mentioned briefly: caesarean scar, top surgery
</w:t>
            </w:r>
          </w:p>
        </w:tc>
      </w:tr>
      <w:tr>
        <w:tc>
          <w:tcPr>
            <w:tcW w:w="1484"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Abortion/Miscarriage
</w:t>
            </w:r>
          </w:p>
        </w:tc>
        <w:tc>
          <w:tcPr>
            <w:tcW w:w="754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The blood clot that is shown and described in the show that is a symptom of Crohn’s is described as looking like a ‘miscarriage’ or a ‘placenta from my ass’ throughout.
</w:t>
            </w:r>
          </w:p>
          <w:p>
            <w:pPr>
              <w:spacing w:after="120" w:before="120" w:line="336" w:lineRule="auto"/>
              <w:ind w:firstLine="0" w:start="0"/>
              <w:jc w:val="center"/>
            </w:pPr>
            <w:r>
              <w:rPr>
                <w:rFonts w:ascii="Didact Gothic" w:hAnsi="Didact Gothic" w:cs="Didact Gothic" w:eastAsia="Didact Gothic"/>
                <w:color w:val="000000"/>
                <w:sz w:val="20"/>
                <w:szCs w:val="20"/>
              </w:rPr>
              <w:t xml:space="preserve">Abortion is also mentioned when a male sexual makes light of it.
</w:t>
            </w:r>
          </w:p>
        </w:tc>
      </w:tr>
      <w:tr>
        <w:tc>
          <w:tcPr>
            <w:tcW w:w="1484"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Internalised Ableism
</w:t>
            </w:r>
          </w:p>
        </w:tc>
        <w:tc>
          <w:tcPr>
            <w:tcW w:w="754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The character is dealing with a lot of internalised ableism.
</w:t>
            </w:r>
          </w:p>
          <w:p>
            <w:pPr>
              <w:spacing w:after="120" w:before="120" w:line="336" w:lineRule="auto"/>
              <w:ind w:firstLine="0" w:start="0"/>
              <w:jc w:val="center"/>
            </w:pPr>
            <w:r>
              <w:rPr>
                <w:rFonts w:ascii="Didact Gothic" w:hAnsi="Didact Gothic" w:cs="Didact Gothic" w:eastAsia="Didact Gothic"/>
                <w:color w:val="000000"/>
                <w:sz w:val="20"/>
                <w:szCs w:val="20"/>
              </w:rPr>
              <w:t xml:space="preserve">In this show, they receive news that they may need a colostomy bag at some point in their illness (1 in 10) and the fear of this spurs them to ‘sleep with as many people as they can before they have a shitbag’.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This does not reflect how the creator now feels about colostomy bags or people that have them and this is then reflected on later in the show. The creator does acknowledge however that for audience members from the IBD/ostomy bag community may find this part of the narrative challenging.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This play is designed at educating a broader audience about Crohn’s, whilst also giving a voice and being relatable to the community with IBD/associated experiences.
</w:t>
            </w:r>
          </w:p>
        </w:tc>
      </w:tr>
      <w:tr>
        <w:tc>
          <w:tcPr>
            <w:tcW w:w="1484"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Queerphobia/Transphobia
</w:t>
            </w:r>
          </w:p>
        </w:tc>
        <w:tc>
          <w:tcPr>
            <w:tcW w:w="754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Shitbag, the character, describes how ‘many men (sexual partners) will never see me as anything but female’, though they are AFAB non-binary.
</w:t>
            </w:r>
          </w:p>
        </w:tc>
      </w:tr>
      <w:tr>
        <w:tc>
          <w:tcPr>
            <w:tcW w:w="1484"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D</w:t>
            </w:r>
            <w:r>
              <w:rPr>
                <w:rFonts w:ascii="Didact Gothic" w:hAnsi="Didact Gothic" w:cs="Didact Gothic" w:eastAsia="Didact Gothic"/>
                <w:color w:val="000000"/>
                <w:sz w:val="20"/>
                <w:szCs w:val="20"/>
              </w:rPr>
              <w:t xml:space="preserve">eath/mortality
</w:t>
            </w:r>
          </w:p>
        </w:tc>
        <w:tc>
          <w:tcPr>
            <w:tcW w:w="754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This is talks a lot about ‘running from death’/being scared of death.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The protagonist says things like ‘we could die at any moment’ and ‘we could get sick at any moment’.
</w:t>
            </w:r>
          </w:p>
        </w:tc>
      </w:tr>
      <w:tr>
        <w:tc>
          <w:tcPr>
            <w:tcW w:w="1484"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Urine, farts and faeces</w:t>
            </w:r>
            <w:r>
              <w:rPr>
                <w:rFonts w:ascii="Didact Gothic" w:hAnsi="Didact Gothic" w:cs="Didact Gothic" w:eastAsia="Didact Gothic"/>
                <w:color w:val="000000"/>
                <w:sz w:val="20"/>
                <w:szCs w:val="20"/>
              </w:rPr>
              <w:t xml:space="preserve">
</w:t>
            </w:r>
          </w:p>
        </w:tc>
        <w:tc>
          <w:tcPr>
            <w:tcW w:w="754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This play mentions urination and farts and faeces. 
</w:t>
            </w:r>
          </w:p>
          <w:p>
            <w:pPr>
              <w:spacing w:after="120" w:before="120" w:line="336" w:lineRule="auto"/>
              <w:ind w:firstLine="0" w:start="0"/>
              <w:jc w:val="center"/>
            </w:pPr>
            <w:r>
              <w:rPr>
                <w:rFonts w:ascii="Didact Gothic" w:hAnsi="Didact Gothic" w:cs="Didact Gothic" w:eastAsia="Didact Gothic"/>
                <w:color w:val="000000"/>
                <w:sz w:val="20"/>
                <w:szCs w:val="20"/>
              </w:rPr>
              <w:t xml:space="preserve">As it is about a chronic bowel disease, the performer is trying to dispel the tabboo around speaking about digestion issues and ‘shit’.
</w:t>
            </w:r>
          </w:p>
          <w:p>
            <w:pPr>
              <w:spacing w:after="120" w:before="120" w:line="336" w:lineRule="auto"/>
              <w:ind w:firstLine="0" w:start="0"/>
              <w:jc w:val="center"/>
            </w:pPr>
            <w:r>
              <w:rPr>
                <w:rFonts w:ascii="Didact Gothic" w:hAnsi="Didact Gothic" w:cs="Didact Gothic" w:eastAsia="Didact Gothic"/>
                <w:color w:val="000000"/>
                <w:sz w:val="20"/>
                <w:szCs w:val="20"/>
              </w:rPr>
              <w:t xml:space="preserve">Faeces is described as ‘poo’ and ‘shit’ throughout.
</w:t>
            </w:r>
          </w:p>
          <w:p>
            <w:pPr>
              <w:spacing w:after="120" w:before="120" w:line="336" w:lineRule="auto"/>
              <w:ind w:firstLine="0" w:start="0"/>
              <w:jc w:val="center"/>
            </w:pPr>
            <w:r>
              <w:rPr>
                <w:rFonts w:ascii="Didact Gothic" w:hAnsi="Didact Gothic" w:cs="Didact Gothic" w:eastAsia="Didact Gothic"/>
                <w:color w:val="000000"/>
                <w:sz w:val="20"/>
                <w:szCs w:val="20"/>
              </w:rPr>
              <w:t xml:space="preserve">Sounds of bowel movements are heard in the sound design and are described in the dialogue.
</w:t>
            </w:r>
          </w:p>
        </w:tc>
      </w:tr>
      <w:tr>
        <w:tc>
          <w:tcPr>
            <w:tcW w:w="1484"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Mental Illness and </w:t>
            </w:r>
            <w:r>
              <w:rPr>
                <w:rFonts w:ascii="Didact Gothic" w:hAnsi="Didact Gothic" w:cs="Didact Gothic" w:eastAsia="Didact Gothic"/>
                <w:color w:val="000000"/>
                <w:sz w:val="20"/>
                <w:szCs w:val="20"/>
              </w:rPr>
              <w:t>S</w:t>
            </w:r>
            <w:r>
              <w:rPr>
                <w:rFonts w:ascii="Didact Gothic" w:hAnsi="Didact Gothic" w:cs="Didact Gothic" w:eastAsia="Didact Gothic"/>
                <w:color w:val="000000"/>
                <w:sz w:val="20"/>
                <w:szCs w:val="20"/>
              </w:rPr>
              <w:t xml:space="preserve">uicidal Ideation
</w:t>
            </w:r>
          </w:p>
        </w:tc>
        <w:tc>
          <w:tcPr>
            <w:tcW w:w="754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The following diagnosis are mentioned and symptoms are described and portrayed:
</w:t>
            </w:r>
          </w:p>
          <w:p>
            <w:pPr>
              <w:spacing w:after="120" w:before="120" w:line="336" w:lineRule="auto"/>
              <w:ind w:firstLine="0" w:start="0"/>
              <w:jc w:val="center"/>
            </w:pPr>
            <w:r>
              <w:rPr>
                <w:rFonts w:ascii="Didact Gothic" w:hAnsi="Didact Gothic" w:cs="Didact Gothic" w:eastAsia="Didact Gothic"/>
                <w:color w:val="000000"/>
                <w:sz w:val="20"/>
                <w:szCs w:val="20"/>
              </w:rPr>
              <w:t xml:space="preserve">OCD and Mania/Hypo-Mania.
</w:t>
            </w:r>
          </w:p>
          <w:p>
            <w:pPr>
              <w:spacing w:after="120" w:before="120" w:line="336" w:lineRule="auto"/>
              <w:ind w:firstLine="0" w:start="0"/>
              <w:jc w:val="center"/>
            </w:pPr>
            <w:r>
              <w:rPr>
                <w:rFonts w:ascii="Didact Gothic" w:hAnsi="Didact Gothic" w:cs="Didact Gothic" w:eastAsia="Didact Gothic"/>
                <w:color w:val="000000"/>
                <w:sz w:val="20"/>
                <w:szCs w:val="20"/>
              </w:rPr>
              <w:t xml:space="preserve">Mania is a strong theme in the work, as is a shorter period of depression/suicidal ideation.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There are also allusions to a mental illness that is the protagonist is ‘too scared to say publicly’ which is anorexia/disordered eating, though these terms are not mentioned in the play.
</w:t>
            </w:r>
          </w:p>
        </w:tc>
      </w:tr>
      <w:tr>
        <w:tc>
          <w:tcPr>
            <w:tcW w:w="1484"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Diet Culture
</w:t>
            </w:r>
          </w:p>
        </w:tc>
        <w:tc>
          <w:tcPr>
            <w:tcW w:w="7545" w:type="dxa"/>
            <w:tcMar>
              <w:top w:w="180"/>
              <w:start w:w="180"/>
              <w:bottom w:w="180"/>
              <w:end w:w="180"/>
            </w:tcMar>
          </w:tcPr>
          <w:p>
            <w:pPr>
              <w:spacing w:after="120" w:before="120" w:line="336" w:lineRule="auto"/>
              <w:ind w:firstLine="0" w:start="0"/>
              <w:jc w:val="center"/>
            </w:pPr>
            <w:r>
              <w:rPr>
                <w:rFonts w:ascii="Didact Gothic" w:hAnsi="Didact Gothic" w:cs="Didact Gothic" w:eastAsia="Didact Gothic"/>
                <w:color w:val="000000"/>
                <w:sz w:val="20"/>
                <w:szCs w:val="20"/>
              </w:rPr>
              <w:t xml:space="preserve">A man describes poor body image and makes comments about the protagonists’ body: asks them to shave and makes comments about their weight.
</w:t>
            </w:r>
          </w:p>
          <w:p>
            <w:pPr>
              <w:spacing w:after="120" w:before="120" w:line="336" w:lineRule="auto"/>
              <w:ind w:firstLine="0" w:start="0"/>
              <w:jc w:val="center"/>
            </w:pPr>
            <w:r>
              <w:rPr>
                <w:rFonts w:ascii="Didact Gothic" w:hAnsi="Didact Gothic" w:cs="Didact Gothic" w:eastAsia="Didact Gothic"/>
                <w:color w:val="000000"/>
                <w:sz w:val="20"/>
                <w:szCs w:val="20"/>
              </w:rPr>
              <w:t xml:space="preserve">Shitbag makes comments about:
</w:t>
            </w:r>
          </w:p>
          <w:p>
            <w:pPr>
              <w:spacing w:after="120" w:before="120" w:line="336" w:lineRule="auto"/>
              <w:ind w:firstLine="0" w:start="0"/>
              <w:jc w:val="center"/>
            </w:pPr>
            <w:r>
              <w:rPr>
                <w:rFonts w:ascii="Didact Gothic" w:hAnsi="Didact Gothic" w:cs="Didact Gothic" w:eastAsia="Didact Gothic"/>
                <w:color w:val="000000"/>
                <w:sz w:val="20"/>
                <w:szCs w:val="20"/>
              </w:rPr>
              <w:t xml:space="preserve">Their appearance, on and off fasting for tests and being excited when the doctors’ tell them to ‘eat white bread instead of wholemeal’.
</w:t>
            </w:r>
          </w:p>
        </w:tc>
      </w:tr>
    </w:tbl>
    <w:p>
      <w:pPr>
        <w:spacing w:after="120" w:before="120" w:line="336" w:lineRule="auto"/>
        <w:ind w:firstLine="0" w:start="0"/>
        <w:jc w:val="center"/>
      </w:pPr>
      <w:r>
        <w:rPr>
          <w:rFonts w:ascii="Jua" w:hAnsi="Jua" w:cs="Jua" w:eastAsia="Jua"/>
          <w:color w:val="000000"/>
          <w:sz w:val="72"/>
          <w:szCs w:val="72"/>
        </w:rPr>
        <w:t xml:space="preserve">CLOSED CAPTIONS
</w:t>
      </w:r>
    </w:p>
    <w:p>
      <w:pPr>
        <w:spacing w:after="120" w:before="120" w:line="336" w:lineRule="auto"/>
        <w:ind w:firstLine="0" w:start="0"/>
        <w:jc w:val="center"/>
      </w:pPr>
      <w:r>
        <w:rPr>
          <w:rFonts w:ascii="Didact Gothic" w:hAnsi="Didact Gothic" w:cs="Didact Gothic" w:eastAsia="Didact Gothic"/>
          <w:color w:val="000000"/>
          <w:sz w:val="20"/>
          <w:szCs w:val="20"/>
        </w:rPr>
        <w:t xml:space="preserve">DEAF+ HARD OF HEARING AUDIENCE MEMBERS and ANY OTHER DISABLED FOLK are encouraged to use any personal support devices or bring a support person with them. 
</w:t>
      </w:r>
    </w:p>
    <w:p>
      <w:pPr>
        <w:spacing w:after="120" w:before="120" w:line="336" w:lineRule="auto"/>
        <w:ind w:firstLine="0" w:start="0"/>
        <w:jc w:val="center"/>
      </w:pPr>
      <w:r>
        <w:rPr>
          <w:rFonts w:ascii="Didact Gothic" w:hAnsi="Didact Gothic" w:cs="Didact Gothic" w:eastAsia="Didact Gothic"/>
          <w:color w:val="000000"/>
          <w:sz w:val="20"/>
          <w:szCs w:val="20"/>
        </w:rPr>
        <w:t xml:space="preserve">In addition to this, on the evening of the performances, Closed Captions options have been tested such as the </w:t>
      </w:r>
      <w:hyperlink r:id="rId26">
        <w:r>
          <w:rPr>
            <w:rFonts w:ascii="Didact Gothic" w:hAnsi="Didact Gothic" w:cs="Didact Gothic" w:eastAsia="Didact Gothic"/>
            <w:color w:val="1a62ff"/>
            <w:sz w:val="20"/>
            <w:szCs w:val="20"/>
            <w:u w:val="single" w:color="1a62ff"/>
          </w:rPr>
          <w:t>Be Aware App</w:t>
        </w:r>
      </w:hyperlink>
      <w:r>
        <w:rPr>
          <w:rFonts w:ascii="Didact Gothic" w:hAnsi="Didact Gothic" w:cs="Didact Gothic" w:eastAsia="Didact Gothic"/>
          <w:color w:val="000000"/>
          <w:sz w:val="20"/>
          <w:szCs w:val="20"/>
        </w:rPr>
        <w:t xml:space="preserve"> or the </w:t>
      </w:r>
      <w:hyperlink r:id="rId27">
        <w:r>
          <w:rPr>
            <w:rFonts w:ascii="Didact Gothic" w:hAnsi="Didact Gothic" w:cs="Didact Gothic" w:eastAsia="Didact Gothic"/>
            <w:color w:val="1a62ff"/>
            <w:sz w:val="20"/>
            <w:szCs w:val="20"/>
            <w:u w:val="single" w:color="1a62ff"/>
          </w:rPr>
          <w:t>Captioning Live Conference</w:t>
        </w:r>
      </w:hyperlink>
      <w:r>
        <w:rPr>
          <w:rFonts w:ascii="Didact Gothic" w:hAnsi="Didact Gothic" w:cs="Didact Gothic" w:eastAsia="Didact Gothic"/>
          <w:color w:val="000000"/>
          <w:sz w:val="20"/>
          <w:szCs w:val="20"/>
        </w:rPr>
        <w:t xml:space="preserve"> apps which can be downloaded onto patrons’ devices.
</w:t>
      </w:r>
    </w:p>
    <w:p>
      <w:pPr>
        <w:spacing w:after="120" w:before="120"/>
        <w:jc w:val="center"/>
      </w:pPr>
      <w:r>
        <w:drawing>
          <wp:inline distT="0" distR="0" distB="0" distL="0">
            <wp:extent cx="1749676" cy="1680885"/>
            <wp:docPr id="19" name="Drawing 19" descr="06bf4724506561b0089dd1f7df57a059.png"/>
            <a:graphic xmlns:a="http://schemas.openxmlformats.org/drawingml/2006/main">
              <a:graphicData uri="http://schemas.openxmlformats.org/drawingml/2006/picture">
                <pic:pic xmlns:pic="http://schemas.openxmlformats.org/drawingml/2006/picture">
                  <pic:nvPicPr>
                    <pic:cNvPr id="0" name="Picture 19" descr="06bf4724506561b0089dd1f7df57a059.png"/>
                    <pic:cNvPicPr>
                      <a:picLocks noChangeAspect="true"/>
                    </pic:cNvPicPr>
                  </pic:nvPicPr>
                  <pic:blipFill>
                    <a:blip r:embed="rId28"/>
                    <a:stretch>
                      <a:fillRect/>
                    </a:stretch>
                  </pic:blipFill>
                  <pic:spPr>
                    <a:xfrm flipH="false" flipV="false">
                      <a:off x="0" y="0"/>
                      <a:ext cx="1749676" cy="1680885"/>
                    </a:xfrm>
                    <a:prstGeom prst="rect">
                      <a:avLst/>
                    </a:prstGeom>
                  </pic:spPr>
                </pic:pic>
              </a:graphicData>
            </a:graphic>
          </wp:inline>
        </w:drawing>
      </w:r>
    </w:p>
    <w:p>
      <w:pPr>
        <w:spacing w:after="120" w:before="120"/>
        <w:jc w:val="center"/>
      </w:pPr>
      <w:r>
        <w:drawing>
          <wp:inline distT="0" distR="0" distB="0" distL="0">
            <wp:extent cx="1374611" cy="1653473"/>
            <wp:docPr id="20" name="Drawing 20" descr="5e2cf371361644192fa754823487d4c4.png"/>
            <a:graphic xmlns:a="http://schemas.openxmlformats.org/drawingml/2006/main">
              <a:graphicData uri="http://schemas.openxmlformats.org/drawingml/2006/picture">
                <pic:pic xmlns:pic="http://schemas.openxmlformats.org/drawingml/2006/picture">
                  <pic:nvPicPr>
                    <pic:cNvPr id="0" name="Picture 20" descr="5e2cf371361644192fa754823487d4c4.png"/>
                    <pic:cNvPicPr>
                      <a:picLocks noChangeAspect="true"/>
                    </pic:cNvPicPr>
                  </pic:nvPicPr>
                  <pic:blipFill>
                    <a:blip r:embed="rId29"/>
                    <a:srcRect l="27589" t="0" r="28764" b="0"/>
                    <a:stretch>
                      <a:fillRect/>
                    </a:stretch>
                  </pic:blipFill>
                  <pic:spPr>
                    <a:xfrm flipH="false" flipV="false">
                      <a:off x="0" y="0"/>
                      <a:ext cx="1374611" cy="1653473"/>
                    </a:xfrm>
                    <a:prstGeom prst="rect">
                      <a:avLst/>
                    </a:prstGeom>
                  </pic:spPr>
                </pic:pic>
              </a:graphicData>
            </a:graphic>
          </wp:inline>
        </w:drawing>
      </w:r>
    </w:p>
    <w:p>
      <w:pPr>
        <w:spacing w:after="120" w:before="120" w:line="336" w:lineRule="auto"/>
        <w:ind w:firstLine="0" w:start="0"/>
        <w:jc w:val="center"/>
      </w:pPr>
      <w:r>
        <w:rPr>
          <w:rFonts w:ascii="Didact Gothic" w:hAnsi="Didact Gothic" w:cs="Didact Gothic" w:eastAsia="Didact Gothic"/>
          <w:color w:val="000000"/>
          <w:sz w:val="24"/>
          <w:szCs w:val="24"/>
        </w:rPr>
        <w:t xml:space="preserve"> </w:t>
        <w:br/>
      </w:r>
      <w:r>
        <w:rPr>
          <w:rFonts w:ascii="Jua" w:hAnsi="Jua" w:cs="Jua" w:eastAsia="Jua"/>
          <w:color w:val="000000"/>
          <w:sz w:val="84"/>
          <w:szCs w:val="84"/>
        </w:rPr>
        <w:t>FEEDBACK/QUESTIONS</w:t>
      </w:r>
      <w:r>
        <w:rPr>
          <w:rFonts w:ascii="Didact Gothic" w:hAnsi="Didact Gothic" w:cs="Didact Gothic" w:eastAsia="Didact Gothic"/>
          <w:color w:val="000000"/>
          <w:sz w:val="24"/>
          <w:szCs w:val="24"/>
        </w:rPr>
        <w:t xml:space="preserve">
</w:t>
      </w:r>
    </w:p>
    <w:p>
      <w:pPr>
        <w:spacing w:after="120" w:before="120" w:line="336" w:lineRule="auto"/>
        <w:ind w:firstLine="0" w:start="0"/>
        <w:jc w:val="center"/>
      </w:pPr>
      <w:r>
        <w:rPr>
          <w:rFonts w:ascii="Didact Gothic" w:hAnsi="Didact Gothic" w:cs="Didact Gothic" w:eastAsia="Didact Gothic"/>
          <w:color w:val="000000"/>
          <w:sz w:val="24"/>
          <w:szCs w:val="24"/>
        </w:rPr>
        <w:t xml:space="preserve">Please feel free to contact </w:t>
      </w:r>
      <w:r>
        <w:rPr>
          <w:rFonts w:ascii="Didact Gothic" w:hAnsi="Didact Gothic" w:cs="Didact Gothic" w:eastAsia="Didact Gothic"/>
          <w:color w:val="000000"/>
          <w:sz w:val="24"/>
          <w:szCs w:val="24"/>
        </w:rPr>
        <w:t xml:space="preserve">Hayley Edwards on </w:t>
      </w:r>
      <w:hyperlink r:id="rId30">
        <w:r>
          <w:rPr>
            <w:rFonts w:ascii="Didact Gothic" w:hAnsi="Didact Gothic" w:cs="Didact Gothic" w:eastAsia="Didact Gothic"/>
            <w:color w:val="1a62ff"/>
            <w:sz w:val="24"/>
            <w:szCs w:val="24"/>
            <w:u w:val="single" w:color="1a62ff"/>
          </w:rPr>
          <w:t>hayleyedwards.artist@gmail.com</w:t>
        </w:r>
      </w:hyperlink>
      <w:r>
        <w:rPr>
          <w:rFonts w:ascii="Didact Gothic" w:hAnsi="Didact Gothic" w:cs="Didact Gothic" w:eastAsia="Didact Gothic"/>
          <w:color w:val="000000"/>
          <w:sz w:val="24"/>
          <w:szCs w:val="24"/>
        </w:rPr>
        <w:t xml:space="preserve"> for any questions relating to the accessibility of this work and anything that this document covers.</w:t>
      </w:r>
      <w:r>
        <w:rPr>
          <w:rFonts w:ascii="Didact Gothic" w:hAnsi="Didact Gothic" w:cs="Didact Gothic" w:eastAsia="Didact Gothic"/>
          <w:color w:val="000000"/>
          <w:sz w:val="24"/>
          <w:szCs w:val="24"/>
        </w:rPr>
        <w:t xml:space="preserve">
</w:t>
      </w:r>
    </w:p>
    <w:p>
      <w:pPr>
        <w:spacing w:after="120" w:before="120" w:line="336" w:lineRule="auto"/>
        <w:ind w:firstLine="0" w:start="0"/>
        <w:jc w:val="center"/>
      </w:pPr>
      <w:r>
        <w:rPr>
          <w:rFonts w:ascii="Didact Gothic" w:hAnsi="Didact Gothic" w:cs="Didact Gothic" w:eastAsia="Didact Gothic"/>
          <w:color w:val="000000"/>
          <w:sz w:val="24"/>
          <w:szCs w:val="24"/>
        </w:rPr>
        <w:t xml:space="preserve">Hayley can also be contacted via Instagram:
</w:t>
      </w:r>
    </w:p>
    <w:p>
      <w:pPr>
        <w:spacing w:after="120" w:before="120" w:line="336" w:lineRule="auto"/>
        <w:ind w:firstLine="0" w:start="0"/>
        <w:jc w:val="center"/>
      </w:pPr>
      <w:r>
        <w:rPr>
          <w:rFonts w:ascii="Didact Gothic" w:hAnsi="Didact Gothic" w:cs="Didact Gothic" w:eastAsia="Didact Gothic"/>
          <w:color w:val="000000"/>
          <w:sz w:val="34"/>
          <w:szCs w:val="34"/>
        </w:rPr>
        <w:t xml:space="preserve">@hayley.jemma, @tinytablereads or @shitbag.the.play
</w:t>
      </w:r>
    </w:p>
    <w:p>
      <w:pPr>
        <w:spacing w:after="120" w:before="120" w:line="336" w:lineRule="auto"/>
        <w:ind w:firstLine="0" w:start="0"/>
        <w:jc w:val="center"/>
      </w:pPr>
      <w:r>
        <w:rPr>
          <w:rFonts w:ascii="Didact Gothic" w:hAnsi="Didact Gothic" w:cs="Didact Gothic" w:eastAsia="Didact Gothic"/>
          <w:color w:val="000000"/>
          <w:sz w:val="24"/>
          <w:szCs w:val="24"/>
        </w:rPr>
        <w:t xml:space="preserve">Or their team via the email tinytablereads@gmail.com.
</w:t>
      </w:r>
    </w:p>
    <w:sectPr>
      <w:pgSz w:w="11910" w:h="16845"/>
    </w:sectPr>
  </w:body>
</w:document>
</file>

<file path=word/fontTable.xml><?xml version="1.0" encoding="utf-8"?>
<w:fonts xmlns:w="http://schemas.openxmlformats.org/wordprocessingml/2006/main" xmlns:r="http://schemas.openxmlformats.org/officeDocument/2006/relationships">
  <w:font w:name="Arimo">
    <w:panose1 w:val="020B0604020202020204"/>
    <w:charset w:characterSet="1"/>
    <w:embedRegular r:id="rId1"/>
  </w:font>
  <w:font w:name="Didact Gothic">
    <w:panose1 w:val="00000500000000000000"/>
    <w:charset w:characterSet="1"/>
  </w:font>
  <w:font w:name="Jua">
    <w:panose1 w:val="00000000000000000000"/>
    <w:charset w:characterSet="1"/>
    <w:embedRegular r:id="rId3"/>
  </w:font>
</w:fonts>
</file>

<file path=word/numbering.xml><?xml version="1.0" encoding="utf-8"?>
<w:numbering xmlns:w="http://schemas.openxmlformats.org/wordprocessingml/2006/main">
  <w:abstractNum w:abstractNumId="1">
    <w:multiLevelType w:val="hybridMultilevel"/>
    <w:lvl w:ilvl="0">
      <w:start w:val="1"/>
      <w:numFmt w:val="decimal"/>
      <w:lvlText w:val="%1."/>
      <w:lvlJc w:val="left"/>
      <w:pPr>
        <w:ind w:left="400" w:hanging="360"/>
      </w:pPr>
    </w:lvl>
    <w:lvl w:ilvl="1">
      <w:start w:val="1"/>
      <w:numFmt w:val="lowerLetter"/>
      <w:lvlText w:val="%2."/>
      <w:lvlJc w:val="left"/>
      <w:pPr>
        <w:ind w:left="800" w:hanging="360"/>
      </w:pPr>
    </w:lvl>
    <w:lvl w:ilvl="2">
      <w:start w:val="1"/>
      <w:numFmt w:val="lowerRoman"/>
      <w:lvlText w:val="%3."/>
      <w:lvlJc w:val="right"/>
      <w:pPr>
        <w:ind w:left="1200" w:hanging="180"/>
      </w:pPr>
    </w:lvl>
    <w:lvl w:ilvl="3">
      <w:start w:val="1"/>
      <w:numFmt w:val="decimal"/>
      <w:lvlText w:val="%4."/>
      <w:lvlJc w:val="left"/>
      <w:pPr>
        <w:ind w:left="1600" w:hanging="360"/>
      </w:pPr>
    </w:lvl>
    <w:lvl w:ilvl="4">
      <w:start w:val="1"/>
      <w:numFmt w:val="lowerLetter"/>
      <w:lvlText w:val="%5."/>
      <w:lvlJc w:val="left"/>
      <w:pPr>
        <w:ind w:left="2000" w:hanging="360"/>
      </w:pPr>
    </w:lvl>
    <w:lvl w:ilvl="5">
      <w:start w:val="1"/>
      <w:numFmt w:val="lowerRoman"/>
      <w:lvlText w:val="%6."/>
      <w:lvlJc w:val="right"/>
      <w:pPr>
        <w:ind w:left="2400" w:hanging="180"/>
      </w:pPr>
    </w:lvl>
    <w:lvl w:ilvl="6">
      <w:start w:val="1"/>
      <w:numFmt w:val="decimal"/>
      <w:lvlText w:val="%7."/>
      <w:lvlJc w:val="left"/>
      <w:pPr>
        <w:ind w:left="2800" w:hanging="360"/>
      </w:pPr>
    </w:lvl>
    <w:lvl w:ilvl="7">
      <w:start w:val="1"/>
      <w:numFmt w:val="lowerLetter"/>
      <w:lvlText w:val="%8."/>
      <w:lvlJc w:val="left"/>
      <w:pPr>
        <w:ind w:left="3200" w:hanging="360"/>
      </w:pPr>
    </w:lvl>
  </w:abstractNum>
  <w:abstractNum w:abstractNumId="2">
    <w:multiLevelType w:val="hybridMultilevel"/>
    <w:lvl w:ilvl="0">
      <w:start w:val="1"/>
      <w:numFmt w:val="decimal"/>
      <w:lvlText w:val="%1."/>
      <w:lvlJc w:val="left"/>
      <w:pPr>
        <w:ind w:left="400" w:hanging="360"/>
      </w:pPr>
    </w:lvl>
    <w:lvl w:ilvl="1">
      <w:start w:val="1"/>
      <w:numFmt w:val="lowerLetter"/>
      <w:lvlText w:val="%2."/>
      <w:lvlJc w:val="left"/>
      <w:pPr>
        <w:ind w:left="800" w:hanging="360"/>
      </w:pPr>
    </w:lvl>
    <w:lvl w:ilvl="2">
      <w:start w:val="1"/>
      <w:numFmt w:val="lowerRoman"/>
      <w:lvlText w:val="%3."/>
      <w:lvlJc w:val="right"/>
      <w:pPr>
        <w:ind w:left="1200" w:hanging="180"/>
      </w:pPr>
    </w:lvl>
    <w:lvl w:ilvl="3">
      <w:start w:val="1"/>
      <w:numFmt w:val="decimal"/>
      <w:lvlText w:val="%4."/>
      <w:lvlJc w:val="left"/>
      <w:pPr>
        <w:ind w:left="1600" w:hanging="360"/>
      </w:pPr>
    </w:lvl>
    <w:lvl w:ilvl="4">
      <w:start w:val="1"/>
      <w:numFmt w:val="lowerLetter"/>
      <w:lvlText w:val="%5."/>
      <w:lvlJc w:val="left"/>
      <w:pPr>
        <w:ind w:left="2000" w:hanging="360"/>
      </w:pPr>
    </w:lvl>
    <w:lvl w:ilvl="5">
      <w:start w:val="1"/>
      <w:numFmt w:val="lowerRoman"/>
      <w:lvlText w:val="%6."/>
      <w:lvlJc w:val="right"/>
      <w:pPr>
        <w:ind w:left="2400" w:hanging="180"/>
      </w:pPr>
    </w:lvl>
    <w:lvl w:ilvl="6">
      <w:start w:val="1"/>
      <w:numFmt w:val="decimal"/>
      <w:lvlText w:val="%7."/>
      <w:lvlJc w:val="left"/>
      <w:pPr>
        <w:ind w:left="2800" w:hanging="360"/>
      </w:pPr>
    </w:lvl>
    <w:lvl w:ilvl="7">
      <w:start w:val="1"/>
      <w:numFmt w:val="lowerLetter"/>
      <w:lvlText w:val="%8."/>
      <w:lvlJc w:val="left"/>
      <w:pPr>
        <w:ind w:left="3200" w:hanging="360"/>
      </w:pPr>
    </w:lvl>
  </w:abstractNum>
  <w:num w:numId="1">
    <w:abstractNumId w:val="1"/>
  </w:num>
  <w:num w:numId="2">
    <w:abstractNumId w:val="2"/>
  </w:num>
</w:numbering>
</file>

<file path=word/settings.xml><?xml version="1.0" encoding="utf-8"?>
<w:settings xmlns:w="http://schemas.openxmlformats.org/wordprocessingml/2006/main">
  <w:embedTrueTypeFonts/>
  <w:doNotShadeFormData/>
</w: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deafassistant.com" TargetMode="External"/><Relationship Id="rId8" Type="http://schemas.openxmlformats.org/officeDocument/2006/relationships/image" Target="media/image3.png"/><Relationship Id="rId21" Type="http://schemas.openxmlformats.org/officeDocument/2006/relationships/image" Target="media/image15.png"/><Relationship Id="rId3"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7" Type="http://schemas.openxmlformats.org/officeDocument/2006/relationships/image" Target="media/image2.png"/><Relationship Id="rId16" Type="http://schemas.openxmlformats.org/officeDocument/2006/relationships/image" Target="media/image10.png"/><Relationship Id="rId2" Type="http://schemas.openxmlformats.org/officeDocument/2006/relationships/fontTable" Target="fontTable.xml"/><Relationship Id="rId20" Type="http://schemas.openxmlformats.org/officeDocument/2006/relationships/image" Target="media/image14.png"/><Relationship Id="rId29" Type="http://schemas.openxmlformats.org/officeDocument/2006/relationships/image" Target="media/image21.png"/><Relationship Id="rId1" Type="http://schemas.openxmlformats.org/officeDocument/2006/relationships/settings" Target="settings.xml"/><Relationship Id="rId11" Type="http://schemas.openxmlformats.org/officeDocument/2006/relationships/image" Target="media/image5.png"/><Relationship Id="rId24" Type="http://schemas.openxmlformats.org/officeDocument/2006/relationships/image" Target="media/image18.jpeg"/><Relationship Id="rId6" Type="http://schemas.openxmlformats.org/officeDocument/2006/relationships/hyperlink" Target="mailto:info@melbournefringe.com.au" TargetMode="External"/><Relationship Id="rId32" Type="http://schemas.openxmlformats.org/officeDocument/2006/relationships/customXml" Target="../customXml/item2.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0.png"/><Relationship Id="rId5" Type="http://schemas.openxmlformats.org/officeDocument/2006/relationships/hyperlink" Target="tel:96609600" TargetMode="External"/><Relationship Id="rId10" Type="http://schemas.openxmlformats.org/officeDocument/2006/relationships/numbering" Target="numbering.xml"/><Relationship Id="rId19" Type="http://schemas.openxmlformats.org/officeDocument/2006/relationships/image" Target="media/image13.png"/><Relationship Id="rId31" Type="http://schemas.openxmlformats.org/officeDocument/2006/relationships/customXml" Target="../customXml/item1.xml"/><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s://conferencecaptioning.com" TargetMode="External"/><Relationship Id="rId30" Type="http://schemas.openxmlformats.org/officeDocument/2006/relationships/hyperlink" Target="mailto:hayleyedwards.artist@gmail.com" TargetMode="External"/><Relationship Id="rId4" Type="http://schemas.openxmlformats.org/officeDocument/2006/relationships/hyperlink" Target="https://www.ptv.vic.gov.au/place/#PlacePage:::isModalOpen=false&amp;label=Trades%2520Hall%2520Pl%2520(x)%2520Victoria%2520St%2520(Carlton)&amp;lat=-37.80705&amp;lon=144.966629&amp;_auth=3a54a8e9fd094007c550d4e40784867dd6eb52129103b1c1f77b8f65fe140516" TargetMode="External"/><Relationship Id="rId9" Type="http://schemas.openxmlformats.org/officeDocument/2006/relationships/image" Target="media/image4.png"/></Relationships>
</file>

<file path=word/_rels/fontTable.xml.rels><?xml version="1.0" encoding="UTF-8" standalone="yes"?><Relationships xmlns="http://schemas.openxmlformats.org/package/2006/relationships"><Relationship Id="rId1" Target="fonts/font1.odttf" Type="http://schemas.openxmlformats.org/officeDocument/2006/relationships/font"/><Relationship Id="rId3" Target="fonts/font3.odttf" Type="http://schemas.openxmlformats.org/officeDocument/2006/relationships/font"/></Relationships>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DA22EEFA789CD46961A58BB5290E701" ma:contentTypeVersion="23" ma:contentTypeDescription="Create a new document." ma:contentTypeScope="" ma:versionID="0e903245470e9ff28b1f0f66622b1186">
  <xsd:schema xmlns:xsd="http://www.w3.org/2001/XMLSchema" xmlns:xs="http://www.w3.org/2001/XMLSchema" xmlns:p="http://schemas.microsoft.com/office/2006/metadata/properties" xmlns:ns1="http://schemas.microsoft.com/sharepoint/v3" xmlns:ns2="208a4d3c-24ea-42ab-ad6d-2daf6334ae49" xmlns:ns3="fea9f590-e234-4f0b-8eb4-29580e3224c3" targetNamespace="http://schemas.microsoft.com/office/2006/metadata/properties" ma:root="true" ma:fieldsID="a5455a3abe126b63bee0c80bd38f1f9e" ns1:_="" ns2:_="" ns3:_="">
    <xsd:import namespace="http://schemas.microsoft.com/sharepoint/v3"/>
    <xsd:import namespace="208a4d3c-24ea-42ab-ad6d-2daf6334ae49"/>
    <xsd:import namespace="fea9f590-e234-4f0b-8eb4-29580e3224c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3:SharedWithUsers" minOccurs="0"/>
                <xsd:element ref="ns3:SharedWithDetails" minOccurs="0"/>
                <xsd:element ref="ns2:MediaServiceLocation" minOccurs="0"/>
                <xsd:element ref="ns2:MediaServiceOCR" minOccurs="0"/>
                <xsd:element ref="ns2:MediaServiceEventHashCode" minOccurs="0"/>
                <xsd:element ref="ns2:MediaServiceGenerationTime" minOccurs="0"/>
                <xsd:element ref="ns2:MediaServiceAutoKeyPoints" minOccurs="0"/>
                <xsd:element ref="ns2:MediaServiceKeyPoints" minOccurs="0"/>
                <xsd:element ref="ns1:_ip_UnifiedCompliancePolicyProperties" minOccurs="0"/>
                <xsd:element ref="ns1:_ip_UnifiedCompliancePolicyUIAction" minOccurs="0"/>
                <xsd:element ref="ns2:MediaLengthInSeconds" minOccurs="0"/>
                <xsd:element ref="ns2:lcf76f155ced4ddcb4097134ff3c332f" minOccurs="0"/>
                <xsd:element ref="ns3:TaxCatchAll" minOccurs="0"/>
                <xsd:element ref="ns2:_Flow_SignoffStatus" minOccurs="0"/>
                <xsd:element ref="ns2:MediaServiceObjectDetectorVersions" minOccurs="0"/>
                <xsd:element ref="ns2:testURL"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08a4d3c-24ea-42ab-ad6d-2daf6334ae4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Location" ma:index="14" nillable="true" ma:displayName="MediaServiceLocation" ma:descrip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2f93a9eb-c87e-443f-9029-15242b338bd0" ma:termSetId="09814cd3-568e-fe90-9814-8d621ff8fb84" ma:anchorId="fba54fb3-c3e1-fe81-a776-ca4b69148c4d" ma:open="true" ma:isKeyword="false">
      <xsd:complexType>
        <xsd:sequence>
          <xsd:element ref="pc:Terms" minOccurs="0" maxOccurs="1"/>
        </xsd:sequence>
      </xsd:complexType>
    </xsd:element>
    <xsd:element name="_Flow_SignoffStatus" ma:index="26" nillable="true" ma:displayName="Sign-off status" ma:internalName="Sign_x002d_off_x0020_status">
      <xsd:simpleType>
        <xsd:restriction base="dms:Text"/>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testURL" ma:index="28" nillable="true" ma:displayName="ListLink" ma:description="Link to Invoice Log List" ma:format="Hyperlink" ma:internalName="testURL">
      <xsd:complexType>
        <xsd:complexContent>
          <xsd:extension base="dms:URL">
            <xsd:sequence>
              <xsd:element name="Url" type="dms:ValidUrl" minOccurs="0" nillable="true"/>
              <xsd:element name="Description" type="xsd:string" nillable="true"/>
            </xsd:sequence>
          </xsd:extension>
        </xsd:complexContent>
      </xsd:complex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ea9f590-e234-4f0b-8eb4-29580e3224c3" elementFormDefault="qualified">
    <xsd:import namespace="http://schemas.microsoft.com/office/2006/documentManagement/types"/>
    <xsd:import namespace="http://schemas.microsoft.com/office/infopath/2007/PartnerControls"/>
    <xsd:element name="SharedWithUsers" ma:index="12"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description="" ma:internalName="SharedWithDetails" ma:readOnly="true">
      <xsd:simpleType>
        <xsd:restriction base="dms:Note">
          <xsd:maxLength value="255"/>
        </xsd:restriction>
      </xsd:simpleType>
    </xsd:element>
    <xsd:element name="TaxCatchAll" ma:index="25" nillable="true" ma:displayName="Taxonomy Catch All Column" ma:hidden="true" ma:list="{f2502b3e-95aa-4db6-9124-c6449d60d8cd}" ma:internalName="TaxCatchAll" ma:showField="CatchAllData" ma:web="fea9f590-e234-4f0b-8eb4-29580e3224c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0EDAA1D-5091-4FB1-B898-64932B08A6A7}"/>
</file>

<file path=customXml/itemProps2.xml><?xml version="1.0" encoding="utf-8"?>
<ds:datastoreItem xmlns:ds="http://schemas.openxmlformats.org/officeDocument/2006/customXml" ds:itemID="{9F80A4AF-471E-40EC-A5B7-DD5392489461}"/>
</file>

<file path=docProps/app.xml><?xml version="1.0" encoding="utf-8"?>
<Properties xmlns="http://schemas.openxmlformats.org/officeDocument/2006/extended-properties">
  <Application>Apache POI</Applicat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2024-10-10T02:22:58Z</dcterms:created>
  <dc:creator>Apache POI</dc:creator>
</cp:coreProperties>
</file>